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3A04" w14:textId="115F85E3" w:rsidR="008C22B9" w:rsidRPr="0067044F" w:rsidRDefault="008C22B9" w:rsidP="0067044F">
      <w:pPr>
        <w:spacing w:after="0" w:line="360" w:lineRule="auto"/>
        <w:ind w:left="630" w:hanging="360"/>
        <w:jc w:val="center"/>
        <w:rPr>
          <w:rFonts w:ascii="Times New Roman" w:hAnsi="Times New Roman" w:cs="Times New Roman"/>
          <w:b/>
          <w:bCs/>
          <w:sz w:val="24"/>
          <w:szCs w:val="24"/>
          <w:lang w:val="bg-BG"/>
        </w:rPr>
      </w:pPr>
      <w:r w:rsidRPr="0067044F">
        <w:rPr>
          <w:rFonts w:ascii="Times New Roman" w:hAnsi="Times New Roman" w:cs="Times New Roman"/>
          <w:b/>
          <w:bCs/>
          <w:sz w:val="24"/>
          <w:szCs w:val="24"/>
          <w:lang w:val="bg-BG"/>
        </w:rPr>
        <w:t xml:space="preserve">Методология за </w:t>
      </w:r>
      <w:r w:rsidR="0067044F" w:rsidRPr="0067044F">
        <w:rPr>
          <w:rFonts w:ascii="Times New Roman" w:hAnsi="Times New Roman" w:cs="Times New Roman"/>
          <w:b/>
          <w:bCs/>
          <w:sz w:val="24"/>
          <w:szCs w:val="24"/>
          <w:lang w:val="bg-BG"/>
        </w:rPr>
        <w:t>групиране на институциите по видове и по райони на планиране</w:t>
      </w:r>
    </w:p>
    <w:p w14:paraId="43D1F443" w14:textId="77777777" w:rsidR="008C22B9" w:rsidRPr="0067044F" w:rsidRDefault="008C22B9" w:rsidP="004B6CF1">
      <w:pPr>
        <w:spacing w:after="0" w:line="360" w:lineRule="auto"/>
        <w:rPr>
          <w:rFonts w:ascii="Times New Roman" w:eastAsia="Calibri" w:hAnsi="Times New Roman" w:cs="Times New Roman"/>
          <w:sz w:val="24"/>
          <w:szCs w:val="24"/>
          <w:lang w:val="bg-BG"/>
        </w:rPr>
      </w:pPr>
    </w:p>
    <w:p w14:paraId="18D12B4C" w14:textId="63811C0F" w:rsidR="008C22B9" w:rsidRPr="008C22B9" w:rsidRDefault="008C22B9" w:rsidP="004B6CF1">
      <w:pPr>
        <w:spacing w:after="0" w:line="360" w:lineRule="auto"/>
        <w:ind w:firstLine="270"/>
        <w:jc w:val="both"/>
        <w:rPr>
          <w:rFonts w:ascii="Times New Roman" w:eastAsia="Calibri" w:hAnsi="Times New Roman" w:cs="Times New Roman"/>
          <w:sz w:val="24"/>
          <w:szCs w:val="24"/>
          <w:lang w:val="bg-BG"/>
        </w:rPr>
      </w:pPr>
      <w:r w:rsidRPr="008C22B9">
        <w:rPr>
          <w:rFonts w:ascii="Times New Roman" w:eastAsia="Calibri" w:hAnsi="Times New Roman" w:cs="Times New Roman"/>
          <w:sz w:val="24"/>
          <w:szCs w:val="24"/>
          <w:lang w:val="bg-BG"/>
        </w:rPr>
        <w:t>Използва</w:t>
      </w:r>
      <w:r w:rsidR="004B6CF1" w:rsidRPr="0067044F">
        <w:rPr>
          <w:rFonts w:ascii="Times New Roman" w:eastAsia="Calibri" w:hAnsi="Times New Roman" w:cs="Times New Roman"/>
          <w:sz w:val="24"/>
          <w:szCs w:val="24"/>
          <w:lang w:val="bg-BG"/>
        </w:rPr>
        <w:t>ни</w:t>
      </w:r>
      <w:r w:rsidRPr="008C22B9">
        <w:rPr>
          <w:rFonts w:ascii="Times New Roman" w:eastAsia="Calibri" w:hAnsi="Times New Roman" w:cs="Times New Roman"/>
          <w:sz w:val="24"/>
          <w:szCs w:val="24"/>
          <w:lang w:val="bg-BG"/>
        </w:rPr>
        <w:t xml:space="preserve"> с</w:t>
      </w:r>
      <w:r w:rsidR="004B6CF1" w:rsidRPr="0067044F">
        <w:rPr>
          <w:rFonts w:ascii="Times New Roman" w:eastAsia="Calibri" w:hAnsi="Times New Roman" w:cs="Times New Roman"/>
          <w:sz w:val="24"/>
          <w:szCs w:val="24"/>
          <w:lang w:val="bg-BG"/>
        </w:rPr>
        <w:t>а</w:t>
      </w:r>
      <w:r w:rsidRPr="008C22B9">
        <w:rPr>
          <w:rFonts w:ascii="Times New Roman" w:eastAsia="Calibri" w:hAnsi="Times New Roman" w:cs="Times New Roman"/>
          <w:sz w:val="24"/>
          <w:szCs w:val="24"/>
          <w:lang w:val="bg-BG"/>
        </w:rPr>
        <w:t xml:space="preserve"> данните от списъците с класирането на образователните институции по видове (детски градини, неспециализирани училища, средни училища, профилирани гимназии), извършено според заложените критерии в </w:t>
      </w:r>
      <w:bookmarkStart w:id="0" w:name="_Hlk100302865"/>
      <w:r w:rsidRPr="008C22B9">
        <w:rPr>
          <w:rFonts w:ascii="Times New Roman" w:eastAsia="Calibri" w:hAnsi="Times New Roman" w:cs="Times New Roman"/>
          <w:sz w:val="24"/>
          <w:szCs w:val="24"/>
          <w:lang w:val="bg-BG"/>
        </w:rPr>
        <w:t>Методологията за приоритизиране на обектите на образователната инфраструктура на територията на Република България</w:t>
      </w:r>
      <w:bookmarkEnd w:id="0"/>
      <w:r w:rsidR="0060151E">
        <w:rPr>
          <w:rFonts w:ascii="Times New Roman" w:eastAsia="Calibri" w:hAnsi="Times New Roman" w:cs="Times New Roman"/>
          <w:sz w:val="24"/>
          <w:szCs w:val="24"/>
          <w:lang w:val="bg-BG"/>
        </w:rPr>
        <w:t xml:space="preserve"> </w:t>
      </w:r>
      <w:r w:rsidR="0060151E">
        <w:rPr>
          <w:rFonts w:ascii="Times New Roman" w:eastAsia="Calibri" w:hAnsi="Times New Roman" w:cs="Times New Roman"/>
          <w:sz w:val="24"/>
          <w:szCs w:val="24"/>
          <w:lang w:val="bg-BG"/>
        </w:rPr>
        <w:t xml:space="preserve">( </w:t>
      </w:r>
      <w:hyperlink r:id="rId5" w:history="1">
        <w:r w:rsidR="0060151E" w:rsidRPr="0060151E">
          <w:rPr>
            <w:rStyle w:val="Hyperlink"/>
            <w:b/>
            <w:bCs/>
            <w:color w:val="0000FF"/>
          </w:rPr>
          <w:t>https://mon.bg/bg/932</w:t>
        </w:r>
      </w:hyperlink>
      <w:r w:rsidR="0060151E">
        <w:rPr>
          <w:lang w:val="bg-BG"/>
        </w:rPr>
        <w:t xml:space="preserve"> )</w:t>
      </w:r>
      <w:r w:rsidR="00F44921" w:rsidRPr="0067044F">
        <w:rPr>
          <w:rFonts w:ascii="Times New Roman" w:eastAsia="Calibri" w:hAnsi="Times New Roman" w:cs="Times New Roman"/>
          <w:sz w:val="24"/>
          <w:szCs w:val="24"/>
          <w:lang w:val="bg-BG"/>
        </w:rPr>
        <w:t xml:space="preserve">. </w:t>
      </w:r>
      <w:r w:rsidRPr="008C22B9">
        <w:rPr>
          <w:rFonts w:ascii="Times New Roman" w:eastAsia="Calibri" w:hAnsi="Times New Roman" w:cs="Times New Roman"/>
          <w:sz w:val="24"/>
          <w:szCs w:val="24"/>
          <w:lang w:val="bg-BG"/>
        </w:rPr>
        <w:t xml:space="preserve">За всеки вид образователни институции данните </w:t>
      </w:r>
      <w:r w:rsidR="004B6CF1" w:rsidRPr="0067044F">
        <w:rPr>
          <w:rFonts w:ascii="Times New Roman" w:eastAsia="Calibri" w:hAnsi="Times New Roman" w:cs="Times New Roman"/>
          <w:sz w:val="24"/>
          <w:szCs w:val="24"/>
          <w:lang w:val="bg-BG"/>
        </w:rPr>
        <w:t>са</w:t>
      </w:r>
      <w:r w:rsidRPr="008C22B9">
        <w:rPr>
          <w:rFonts w:ascii="Times New Roman" w:eastAsia="Calibri" w:hAnsi="Times New Roman" w:cs="Times New Roman"/>
          <w:sz w:val="24"/>
          <w:szCs w:val="24"/>
          <w:lang w:val="bg-BG"/>
        </w:rPr>
        <w:t xml:space="preserve"> сортира</w:t>
      </w:r>
      <w:r w:rsidR="004B6CF1" w:rsidRPr="0067044F">
        <w:rPr>
          <w:rFonts w:ascii="Times New Roman" w:eastAsia="Calibri" w:hAnsi="Times New Roman" w:cs="Times New Roman"/>
          <w:sz w:val="24"/>
          <w:szCs w:val="24"/>
          <w:lang w:val="bg-BG"/>
        </w:rPr>
        <w:t>ни</w:t>
      </w:r>
      <w:r w:rsidRPr="008C22B9">
        <w:rPr>
          <w:rFonts w:ascii="Times New Roman" w:eastAsia="Calibri" w:hAnsi="Times New Roman" w:cs="Times New Roman"/>
          <w:sz w:val="24"/>
          <w:szCs w:val="24"/>
          <w:lang w:val="bg-BG"/>
        </w:rPr>
        <w:t xml:space="preserve"> по район на планиране и </w:t>
      </w:r>
      <w:r w:rsidR="00AE25A4" w:rsidRPr="0067044F">
        <w:rPr>
          <w:rFonts w:ascii="Times New Roman" w:eastAsia="Calibri" w:hAnsi="Times New Roman" w:cs="Times New Roman"/>
          <w:sz w:val="24"/>
          <w:szCs w:val="24"/>
          <w:lang w:val="bg-BG"/>
        </w:rPr>
        <w:t>са</w:t>
      </w:r>
      <w:r w:rsidRPr="008C22B9">
        <w:rPr>
          <w:rFonts w:ascii="Times New Roman" w:eastAsia="Calibri" w:hAnsi="Times New Roman" w:cs="Times New Roman"/>
          <w:sz w:val="24"/>
          <w:szCs w:val="24"/>
          <w:lang w:val="bg-BG"/>
        </w:rPr>
        <w:t xml:space="preserve"> раздел</w:t>
      </w:r>
      <w:r w:rsidR="00AE25A4" w:rsidRPr="0067044F">
        <w:rPr>
          <w:rFonts w:ascii="Times New Roman" w:eastAsia="Calibri" w:hAnsi="Times New Roman" w:cs="Times New Roman"/>
          <w:sz w:val="24"/>
          <w:szCs w:val="24"/>
          <w:lang w:val="bg-BG"/>
        </w:rPr>
        <w:t>ени в</w:t>
      </w:r>
      <w:r w:rsidRPr="008C22B9">
        <w:rPr>
          <w:rFonts w:ascii="Times New Roman" w:eastAsia="Calibri" w:hAnsi="Times New Roman" w:cs="Times New Roman"/>
          <w:sz w:val="24"/>
          <w:szCs w:val="24"/>
          <w:lang w:val="bg-BG"/>
        </w:rPr>
        <w:t xml:space="preserve"> 6 групи – по една група за всеки район на планиране</w:t>
      </w:r>
      <w:r w:rsidR="00AE25A4" w:rsidRPr="0067044F">
        <w:rPr>
          <w:rFonts w:ascii="Times New Roman" w:eastAsia="Calibri" w:hAnsi="Times New Roman" w:cs="Times New Roman"/>
          <w:sz w:val="24"/>
          <w:szCs w:val="24"/>
          <w:lang w:val="bg-BG"/>
        </w:rPr>
        <w:t>.</w:t>
      </w:r>
    </w:p>
    <w:p w14:paraId="60529E90" w14:textId="77777777" w:rsidR="00261631" w:rsidRPr="0067044F" w:rsidRDefault="008C22B9" w:rsidP="004B6CF1">
      <w:pPr>
        <w:spacing w:after="0" w:line="360" w:lineRule="auto"/>
        <w:ind w:firstLine="270"/>
        <w:jc w:val="both"/>
        <w:rPr>
          <w:rFonts w:ascii="Times New Roman" w:eastAsia="Calibri" w:hAnsi="Times New Roman" w:cs="Times New Roman"/>
          <w:sz w:val="24"/>
          <w:szCs w:val="24"/>
          <w:lang w:val="bg-BG"/>
        </w:rPr>
      </w:pPr>
      <w:r w:rsidRPr="008C22B9">
        <w:rPr>
          <w:rFonts w:ascii="Times New Roman" w:eastAsia="Calibri" w:hAnsi="Times New Roman" w:cs="Times New Roman"/>
          <w:sz w:val="24"/>
          <w:szCs w:val="24"/>
          <w:lang w:val="bg-BG"/>
        </w:rPr>
        <w:t>На ниво район на планиране (BG31, BG32, BG33, BG34, BG41 и BG42) образователните институции от съответния вид (детски градини/неспециализирани училища/средни училища/ профилирани гимназии) с</w:t>
      </w:r>
      <w:r w:rsidR="00AE25A4" w:rsidRPr="0067044F">
        <w:rPr>
          <w:rFonts w:ascii="Times New Roman" w:eastAsia="Calibri" w:hAnsi="Times New Roman" w:cs="Times New Roman"/>
          <w:sz w:val="24"/>
          <w:szCs w:val="24"/>
          <w:lang w:val="bg-BG"/>
        </w:rPr>
        <w:t>а</w:t>
      </w:r>
      <w:r w:rsidRPr="008C22B9">
        <w:rPr>
          <w:rFonts w:ascii="Times New Roman" w:eastAsia="Calibri" w:hAnsi="Times New Roman" w:cs="Times New Roman"/>
          <w:sz w:val="24"/>
          <w:szCs w:val="24"/>
          <w:lang w:val="bg-BG"/>
        </w:rPr>
        <w:t xml:space="preserve"> разпредел</w:t>
      </w:r>
      <w:r w:rsidR="00AE25A4" w:rsidRPr="0067044F">
        <w:rPr>
          <w:rFonts w:ascii="Times New Roman" w:eastAsia="Calibri" w:hAnsi="Times New Roman" w:cs="Times New Roman"/>
          <w:sz w:val="24"/>
          <w:szCs w:val="24"/>
          <w:lang w:val="bg-BG"/>
        </w:rPr>
        <w:t>ени</w:t>
      </w:r>
      <w:r w:rsidRPr="008C22B9">
        <w:rPr>
          <w:rFonts w:ascii="Times New Roman" w:eastAsia="Calibri" w:hAnsi="Times New Roman" w:cs="Times New Roman"/>
          <w:sz w:val="24"/>
          <w:szCs w:val="24"/>
          <w:lang w:val="bg-BG"/>
        </w:rPr>
        <w:t xml:space="preserve"> в 5 групи въз основа на общия брой точки на съответната институция от списъка с класиране към Методологията за приоритизиране на обектите на образователната инфраструктура на територията на Република България. Разпределянето в 5 групи </w:t>
      </w:r>
      <w:r w:rsidR="00AE25A4" w:rsidRPr="0067044F">
        <w:rPr>
          <w:rFonts w:ascii="Times New Roman" w:eastAsia="Calibri" w:hAnsi="Times New Roman" w:cs="Times New Roman"/>
          <w:sz w:val="24"/>
          <w:szCs w:val="24"/>
          <w:lang w:val="bg-BG"/>
        </w:rPr>
        <w:t>е</w:t>
      </w:r>
      <w:r w:rsidRPr="008C22B9">
        <w:rPr>
          <w:rFonts w:ascii="Times New Roman" w:eastAsia="Calibri" w:hAnsi="Times New Roman" w:cs="Times New Roman"/>
          <w:sz w:val="24"/>
          <w:szCs w:val="24"/>
          <w:lang w:val="bg-BG"/>
        </w:rPr>
        <w:t xml:space="preserve"> извърш</w:t>
      </w:r>
      <w:r w:rsidR="00AE25A4" w:rsidRPr="0067044F">
        <w:rPr>
          <w:rFonts w:ascii="Times New Roman" w:eastAsia="Calibri" w:hAnsi="Times New Roman" w:cs="Times New Roman"/>
          <w:sz w:val="24"/>
          <w:szCs w:val="24"/>
          <w:lang w:val="bg-BG"/>
        </w:rPr>
        <w:t>ено</w:t>
      </w:r>
      <w:r w:rsidRPr="008C22B9">
        <w:rPr>
          <w:rFonts w:ascii="Times New Roman" w:eastAsia="Calibri" w:hAnsi="Times New Roman" w:cs="Times New Roman"/>
          <w:sz w:val="24"/>
          <w:szCs w:val="24"/>
          <w:lang w:val="bg-BG"/>
        </w:rPr>
        <w:t xml:space="preserve"> чрез позиционна средна величина – </w:t>
      </w:r>
      <w:proofErr w:type="spellStart"/>
      <w:r w:rsidRPr="008C22B9">
        <w:rPr>
          <w:rFonts w:ascii="Times New Roman" w:eastAsia="Calibri" w:hAnsi="Times New Roman" w:cs="Times New Roman"/>
          <w:sz w:val="24"/>
          <w:szCs w:val="24"/>
          <w:lang w:val="bg-BG"/>
        </w:rPr>
        <w:t>квинтил</w:t>
      </w:r>
      <w:proofErr w:type="spellEnd"/>
      <w:r w:rsidRPr="008C22B9">
        <w:rPr>
          <w:rFonts w:ascii="Times New Roman" w:eastAsia="Calibri" w:hAnsi="Times New Roman" w:cs="Times New Roman"/>
          <w:sz w:val="24"/>
          <w:szCs w:val="24"/>
          <w:lang w:val="bg-BG"/>
        </w:rPr>
        <w:t xml:space="preserve">, като се прилага формулата </w:t>
      </w:r>
      <w:proofErr w:type="spellStart"/>
      <w:r w:rsidRPr="008C22B9">
        <w:rPr>
          <w:rFonts w:ascii="Times New Roman" w:eastAsia="Calibri" w:hAnsi="Times New Roman" w:cs="Times New Roman"/>
          <w:sz w:val="24"/>
          <w:szCs w:val="24"/>
          <w:lang w:val="bg-BG"/>
        </w:rPr>
        <w:t>Percentile.exc</w:t>
      </w:r>
      <w:proofErr w:type="spellEnd"/>
      <w:r w:rsidRPr="008C22B9">
        <w:rPr>
          <w:rFonts w:ascii="Times New Roman" w:eastAsia="Calibri" w:hAnsi="Times New Roman" w:cs="Times New Roman"/>
          <w:sz w:val="24"/>
          <w:szCs w:val="24"/>
          <w:lang w:val="bg-BG"/>
        </w:rPr>
        <w:t xml:space="preserve"> в Excel</w:t>
      </w:r>
      <w:r w:rsidR="00261631" w:rsidRPr="0067044F">
        <w:rPr>
          <w:rFonts w:ascii="Times New Roman" w:eastAsia="Calibri" w:hAnsi="Times New Roman" w:cs="Times New Roman"/>
          <w:sz w:val="24"/>
          <w:szCs w:val="24"/>
          <w:lang w:val="bg-BG"/>
        </w:rPr>
        <w:t xml:space="preserve">. </w:t>
      </w:r>
    </w:p>
    <w:p w14:paraId="16247A0E" w14:textId="71698CCC" w:rsidR="00261631" w:rsidRPr="0067044F" w:rsidRDefault="00261631" w:rsidP="00261631">
      <w:pPr>
        <w:spacing w:after="0" w:line="360" w:lineRule="auto"/>
        <w:ind w:firstLine="270"/>
        <w:jc w:val="both"/>
        <w:rPr>
          <w:rFonts w:ascii="Times New Roman" w:eastAsia="Calibri" w:hAnsi="Times New Roman" w:cs="Times New Roman"/>
          <w:sz w:val="24"/>
          <w:szCs w:val="24"/>
          <w:lang w:val="bg-BG"/>
        </w:rPr>
      </w:pPr>
      <w:proofErr w:type="spellStart"/>
      <w:r w:rsidRPr="0067044F">
        <w:rPr>
          <w:rFonts w:ascii="Times New Roman" w:eastAsia="Calibri" w:hAnsi="Times New Roman" w:cs="Times New Roman"/>
          <w:sz w:val="24"/>
          <w:szCs w:val="24"/>
          <w:lang w:val="bg-BG"/>
        </w:rPr>
        <w:t>Процентил</w:t>
      </w:r>
      <w:proofErr w:type="spellEnd"/>
      <w:r w:rsidRPr="0067044F">
        <w:rPr>
          <w:rFonts w:ascii="Times New Roman" w:eastAsia="Calibri" w:hAnsi="Times New Roman" w:cs="Times New Roman"/>
          <w:sz w:val="24"/>
          <w:szCs w:val="24"/>
          <w:lang w:val="bg-BG"/>
        </w:rPr>
        <w:t xml:space="preserve"> е стойността, която разделя класацията на висшите училища на пет части, т.е. в интервал от 20%, съобразно получените оценки по Методологията за приоритизиране на обектите на образователната инфраструктура на територията на Република България. </w:t>
      </w:r>
      <w:proofErr w:type="spellStart"/>
      <w:r w:rsidRPr="0067044F">
        <w:rPr>
          <w:rFonts w:ascii="Times New Roman" w:eastAsia="Calibri" w:hAnsi="Times New Roman" w:cs="Times New Roman"/>
          <w:sz w:val="24"/>
          <w:szCs w:val="24"/>
          <w:lang w:val="bg-BG"/>
        </w:rPr>
        <w:t>Процентилът</w:t>
      </w:r>
      <w:proofErr w:type="spellEnd"/>
      <w:r w:rsidRPr="0067044F">
        <w:rPr>
          <w:rFonts w:ascii="Times New Roman" w:eastAsia="Calibri" w:hAnsi="Times New Roman" w:cs="Times New Roman"/>
          <w:sz w:val="24"/>
          <w:szCs w:val="24"/>
          <w:lang w:val="bg-BG"/>
        </w:rPr>
        <w:t xml:space="preserve"> определя горната граница за съответната група в извадката.</w:t>
      </w:r>
      <w:r w:rsidR="00CB2650" w:rsidRPr="0067044F">
        <w:rPr>
          <w:rFonts w:ascii="Times New Roman" w:eastAsia="Calibri" w:hAnsi="Times New Roman" w:cs="Times New Roman"/>
          <w:sz w:val="24"/>
          <w:szCs w:val="24"/>
          <w:lang w:val="bg-BG"/>
        </w:rPr>
        <w:t xml:space="preserve"> Групирането на данните започва от най-ниската група (5 група), което се приема за 20-ти </w:t>
      </w:r>
      <w:proofErr w:type="spellStart"/>
      <w:r w:rsidR="00CB2650" w:rsidRPr="0067044F">
        <w:rPr>
          <w:rFonts w:ascii="Times New Roman" w:eastAsia="Calibri" w:hAnsi="Times New Roman" w:cs="Times New Roman"/>
          <w:sz w:val="24"/>
          <w:szCs w:val="24"/>
          <w:lang w:val="bg-BG"/>
        </w:rPr>
        <w:t>процентил</w:t>
      </w:r>
      <w:proofErr w:type="spellEnd"/>
      <w:r w:rsidR="00CB2650" w:rsidRPr="0067044F">
        <w:rPr>
          <w:rFonts w:ascii="Times New Roman" w:eastAsia="Calibri" w:hAnsi="Times New Roman" w:cs="Times New Roman"/>
          <w:sz w:val="24"/>
          <w:szCs w:val="24"/>
          <w:lang w:val="bg-BG"/>
        </w:rPr>
        <w:t xml:space="preserve"> и се прилага формулата</w:t>
      </w:r>
      <w:r w:rsidR="00A86437" w:rsidRPr="0067044F">
        <w:rPr>
          <w:lang w:val="bg-BG"/>
        </w:rPr>
        <w:t xml:space="preserve"> </w:t>
      </w:r>
      <w:bookmarkStart w:id="1" w:name="_Hlk100303332"/>
      <w:r w:rsidR="00A86437" w:rsidRPr="0067044F">
        <w:rPr>
          <w:rFonts w:ascii="Times New Roman" w:eastAsia="Calibri" w:hAnsi="Times New Roman" w:cs="Times New Roman"/>
          <w:sz w:val="24"/>
          <w:szCs w:val="24"/>
          <w:lang w:val="bg-BG"/>
        </w:rPr>
        <w:t>=SUM(PERCENTILE.EXC(</w:t>
      </w:r>
      <w:bookmarkStart w:id="2" w:name="_Hlk100303109"/>
      <w:r w:rsidR="00A86437" w:rsidRPr="0067044F">
        <w:rPr>
          <w:rFonts w:ascii="Times New Roman" w:eastAsia="Calibri" w:hAnsi="Times New Roman" w:cs="Times New Roman"/>
          <w:sz w:val="24"/>
          <w:szCs w:val="24"/>
          <w:lang w:val="bg-BG"/>
        </w:rPr>
        <w:t>$O$4:$O$382</w:t>
      </w:r>
      <w:bookmarkEnd w:id="2"/>
      <w:r w:rsidR="00A86437" w:rsidRPr="0067044F">
        <w:rPr>
          <w:rFonts w:ascii="Times New Roman" w:eastAsia="Calibri" w:hAnsi="Times New Roman" w:cs="Times New Roman"/>
          <w:sz w:val="24"/>
          <w:szCs w:val="24"/>
          <w:lang w:val="bg-BG"/>
        </w:rPr>
        <w:t>,20/100))</w:t>
      </w:r>
      <w:bookmarkEnd w:id="1"/>
      <w:r w:rsidR="00025960" w:rsidRPr="0067044F">
        <w:rPr>
          <w:rFonts w:ascii="Times New Roman" w:eastAsia="Calibri" w:hAnsi="Times New Roman" w:cs="Times New Roman"/>
          <w:sz w:val="24"/>
          <w:szCs w:val="24"/>
          <w:lang w:val="bg-BG"/>
        </w:rPr>
        <w:t>, където</w:t>
      </w:r>
    </w:p>
    <w:p w14:paraId="794B69E3" w14:textId="35EF8665" w:rsidR="00025960" w:rsidRPr="0067044F" w:rsidRDefault="00025960" w:rsidP="00261631">
      <w:pPr>
        <w:spacing w:after="0" w:line="360" w:lineRule="auto"/>
        <w:ind w:firstLine="270"/>
        <w:jc w:val="both"/>
        <w:rPr>
          <w:rFonts w:ascii="Times New Roman" w:eastAsia="Calibri" w:hAnsi="Times New Roman" w:cs="Times New Roman"/>
          <w:i/>
          <w:iCs/>
          <w:sz w:val="24"/>
          <w:szCs w:val="24"/>
          <w:lang w:val="bg-BG"/>
        </w:rPr>
      </w:pPr>
      <w:r w:rsidRPr="0067044F">
        <w:rPr>
          <w:rFonts w:ascii="Times New Roman" w:eastAsia="Calibri" w:hAnsi="Times New Roman" w:cs="Times New Roman"/>
          <w:i/>
          <w:iCs/>
          <w:sz w:val="24"/>
          <w:szCs w:val="24"/>
          <w:lang w:val="bg-BG"/>
        </w:rPr>
        <w:t>$O$4:$O$382 е съвкупността от данни</w:t>
      </w:r>
      <w:r w:rsidR="008C4BD1" w:rsidRPr="0067044F">
        <w:rPr>
          <w:rFonts w:ascii="Times New Roman" w:eastAsia="Calibri" w:hAnsi="Times New Roman" w:cs="Times New Roman"/>
          <w:i/>
          <w:iCs/>
          <w:sz w:val="24"/>
          <w:szCs w:val="24"/>
          <w:lang w:val="bg-BG"/>
        </w:rPr>
        <w:t xml:space="preserve"> за съответния вид образователна институция и район на планиране</w:t>
      </w:r>
      <w:r w:rsidRPr="0067044F">
        <w:rPr>
          <w:rFonts w:ascii="Times New Roman" w:eastAsia="Calibri" w:hAnsi="Times New Roman" w:cs="Times New Roman"/>
          <w:i/>
          <w:iCs/>
          <w:sz w:val="24"/>
          <w:szCs w:val="24"/>
          <w:lang w:val="bg-BG"/>
        </w:rPr>
        <w:t>;</w:t>
      </w:r>
    </w:p>
    <w:p w14:paraId="43C27F5C" w14:textId="1AF42B40" w:rsidR="00025960" w:rsidRPr="0067044F" w:rsidRDefault="00025960" w:rsidP="00025960">
      <w:pPr>
        <w:spacing w:after="0" w:line="360" w:lineRule="auto"/>
        <w:ind w:firstLine="270"/>
        <w:jc w:val="both"/>
        <w:rPr>
          <w:rFonts w:ascii="Times New Roman" w:eastAsia="Calibri" w:hAnsi="Times New Roman" w:cs="Times New Roman"/>
          <w:i/>
          <w:iCs/>
          <w:sz w:val="24"/>
          <w:szCs w:val="24"/>
          <w:lang w:val="bg-BG"/>
        </w:rPr>
      </w:pPr>
      <w:r w:rsidRPr="0067044F">
        <w:rPr>
          <w:rFonts w:ascii="Times New Roman" w:eastAsia="Calibri" w:hAnsi="Times New Roman" w:cs="Times New Roman"/>
          <w:i/>
          <w:iCs/>
          <w:sz w:val="24"/>
          <w:szCs w:val="24"/>
          <w:lang w:val="bg-BG"/>
        </w:rPr>
        <w:t xml:space="preserve">20 е стойността на </w:t>
      </w:r>
      <w:proofErr w:type="spellStart"/>
      <w:r w:rsidRPr="0067044F">
        <w:rPr>
          <w:rFonts w:ascii="Times New Roman" w:eastAsia="Calibri" w:hAnsi="Times New Roman" w:cs="Times New Roman"/>
          <w:i/>
          <w:iCs/>
          <w:sz w:val="24"/>
          <w:szCs w:val="24"/>
          <w:lang w:val="bg-BG"/>
        </w:rPr>
        <w:t>процентила</w:t>
      </w:r>
      <w:proofErr w:type="spellEnd"/>
      <w:r w:rsidRPr="0067044F">
        <w:rPr>
          <w:rFonts w:ascii="Times New Roman" w:eastAsia="Calibri" w:hAnsi="Times New Roman" w:cs="Times New Roman"/>
          <w:i/>
          <w:iCs/>
          <w:sz w:val="24"/>
          <w:szCs w:val="24"/>
          <w:lang w:val="bg-BG"/>
        </w:rPr>
        <w:t xml:space="preserve"> в диапазона от 0% до 20%, включително, и отразява дела на </w:t>
      </w:r>
      <w:r w:rsidR="008C4BD1" w:rsidRPr="0067044F">
        <w:rPr>
          <w:rFonts w:ascii="Times New Roman" w:eastAsia="Calibri" w:hAnsi="Times New Roman" w:cs="Times New Roman"/>
          <w:i/>
          <w:iCs/>
          <w:sz w:val="24"/>
          <w:szCs w:val="24"/>
          <w:lang w:val="bg-BG"/>
        </w:rPr>
        <w:t>образователните институции</w:t>
      </w:r>
      <w:r w:rsidRPr="0067044F">
        <w:rPr>
          <w:rFonts w:ascii="Times New Roman" w:eastAsia="Calibri" w:hAnsi="Times New Roman" w:cs="Times New Roman"/>
          <w:i/>
          <w:iCs/>
          <w:sz w:val="24"/>
          <w:szCs w:val="24"/>
          <w:lang w:val="bg-BG"/>
        </w:rPr>
        <w:t xml:space="preserve"> от генералната съвкупност</w:t>
      </w:r>
      <w:r w:rsidR="008C4BD1" w:rsidRPr="0067044F">
        <w:rPr>
          <w:rFonts w:ascii="Times New Roman" w:eastAsia="Calibri" w:hAnsi="Times New Roman" w:cs="Times New Roman"/>
          <w:i/>
          <w:iCs/>
          <w:sz w:val="24"/>
          <w:szCs w:val="24"/>
          <w:lang w:val="bg-BG"/>
        </w:rPr>
        <w:t xml:space="preserve"> за съответния</w:t>
      </w:r>
      <w:r w:rsidR="00C11F99" w:rsidRPr="0067044F">
        <w:rPr>
          <w:rFonts w:ascii="Times New Roman" w:eastAsia="Calibri" w:hAnsi="Times New Roman" w:cs="Times New Roman"/>
          <w:i/>
          <w:iCs/>
          <w:sz w:val="24"/>
          <w:szCs w:val="24"/>
          <w:lang w:val="bg-BG"/>
        </w:rPr>
        <w:t xml:space="preserve"> вид и</w:t>
      </w:r>
      <w:r w:rsidR="008C4BD1" w:rsidRPr="0067044F">
        <w:rPr>
          <w:rFonts w:ascii="Times New Roman" w:eastAsia="Calibri" w:hAnsi="Times New Roman" w:cs="Times New Roman"/>
          <w:i/>
          <w:iCs/>
          <w:sz w:val="24"/>
          <w:szCs w:val="24"/>
          <w:lang w:val="bg-BG"/>
        </w:rPr>
        <w:t xml:space="preserve"> район на планиране</w:t>
      </w:r>
      <w:r w:rsidRPr="0067044F">
        <w:rPr>
          <w:rFonts w:ascii="Times New Roman" w:eastAsia="Calibri" w:hAnsi="Times New Roman" w:cs="Times New Roman"/>
          <w:i/>
          <w:iCs/>
          <w:sz w:val="24"/>
          <w:szCs w:val="24"/>
          <w:lang w:val="bg-BG"/>
        </w:rPr>
        <w:t>, които попадат в тази група;</w:t>
      </w:r>
    </w:p>
    <w:p w14:paraId="36D4FC55" w14:textId="242BE695" w:rsidR="00025960" w:rsidRPr="0067044F" w:rsidRDefault="00025960" w:rsidP="00025960">
      <w:pPr>
        <w:spacing w:after="0" w:line="360" w:lineRule="auto"/>
        <w:ind w:firstLine="270"/>
        <w:jc w:val="both"/>
        <w:rPr>
          <w:rFonts w:ascii="Times New Roman" w:eastAsia="Calibri" w:hAnsi="Times New Roman" w:cs="Times New Roman"/>
          <w:i/>
          <w:iCs/>
          <w:sz w:val="24"/>
          <w:szCs w:val="24"/>
          <w:lang w:val="bg-BG"/>
        </w:rPr>
      </w:pPr>
      <w:r w:rsidRPr="0067044F">
        <w:rPr>
          <w:rFonts w:ascii="Times New Roman" w:eastAsia="Calibri" w:hAnsi="Times New Roman" w:cs="Times New Roman"/>
          <w:i/>
          <w:iCs/>
          <w:sz w:val="24"/>
          <w:szCs w:val="24"/>
          <w:lang w:val="bg-BG"/>
        </w:rPr>
        <w:t>100 е стойността на генералната съвкупност.</w:t>
      </w:r>
    </w:p>
    <w:p w14:paraId="59DC0943" w14:textId="77777777" w:rsidR="001E2EE6" w:rsidRDefault="001E2EE6" w:rsidP="004B6CF1">
      <w:pPr>
        <w:spacing w:after="0" w:line="360" w:lineRule="auto"/>
        <w:ind w:firstLine="270"/>
        <w:jc w:val="both"/>
        <w:rPr>
          <w:rFonts w:ascii="Times New Roman" w:eastAsia="Calibri" w:hAnsi="Times New Roman" w:cs="Times New Roman"/>
          <w:sz w:val="24"/>
          <w:szCs w:val="24"/>
          <w:lang w:val="bg-BG"/>
        </w:rPr>
      </w:pPr>
    </w:p>
    <w:p w14:paraId="7BADC762" w14:textId="408F7082" w:rsidR="00261631" w:rsidRPr="0067044F" w:rsidRDefault="00C11F99" w:rsidP="004B6CF1">
      <w:pPr>
        <w:spacing w:after="0" w:line="360" w:lineRule="auto"/>
        <w:ind w:firstLine="27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 xml:space="preserve">По аналогичен начин е приложена формулата за четвърта, трета и втора група, като стойността на </w:t>
      </w:r>
      <w:proofErr w:type="spellStart"/>
      <w:r w:rsidRPr="0067044F">
        <w:rPr>
          <w:rFonts w:ascii="Times New Roman" w:eastAsia="Calibri" w:hAnsi="Times New Roman" w:cs="Times New Roman"/>
          <w:sz w:val="24"/>
          <w:szCs w:val="24"/>
          <w:lang w:val="bg-BG"/>
        </w:rPr>
        <w:t>процентила</w:t>
      </w:r>
      <w:proofErr w:type="spellEnd"/>
      <w:r w:rsidRPr="0067044F">
        <w:rPr>
          <w:rFonts w:ascii="Times New Roman" w:eastAsia="Calibri" w:hAnsi="Times New Roman" w:cs="Times New Roman"/>
          <w:sz w:val="24"/>
          <w:szCs w:val="24"/>
          <w:lang w:val="bg-BG"/>
        </w:rPr>
        <w:t xml:space="preserve"> 20 е промене</w:t>
      </w:r>
      <w:r w:rsidR="00240F79" w:rsidRPr="0067044F">
        <w:rPr>
          <w:rFonts w:ascii="Times New Roman" w:eastAsia="Calibri" w:hAnsi="Times New Roman" w:cs="Times New Roman"/>
          <w:sz w:val="24"/>
          <w:szCs w:val="24"/>
          <w:lang w:val="bg-BG"/>
        </w:rPr>
        <w:t>н както следва:</w:t>
      </w:r>
    </w:p>
    <w:p w14:paraId="43C8C8C7" w14:textId="22CA643E" w:rsidR="00240F79" w:rsidRPr="0067044F" w:rsidRDefault="00240F79" w:rsidP="00240F79">
      <w:pPr>
        <w:pStyle w:val="ListParagraph"/>
        <w:numPr>
          <w:ilvl w:val="0"/>
          <w:numId w:val="2"/>
        </w:numPr>
        <w:spacing w:after="0" w:line="360" w:lineRule="auto"/>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40 – за четвърта група (включващ диапазона от 21% до 40%) и е приложена формулата:</w:t>
      </w:r>
    </w:p>
    <w:p w14:paraId="4974585E" w14:textId="5A020B5D" w:rsidR="00240F79" w:rsidRPr="0067044F" w:rsidRDefault="00240F79" w:rsidP="00240F79">
      <w:pPr>
        <w:pStyle w:val="ListParagraph"/>
        <w:spacing w:after="0" w:line="360" w:lineRule="auto"/>
        <w:ind w:left="99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=SUM(PERCENTILE.EXC($O$4:$O$382,</w:t>
      </w:r>
      <w:r w:rsidRPr="0067044F">
        <w:rPr>
          <w:rFonts w:ascii="Times New Roman" w:eastAsia="Calibri" w:hAnsi="Times New Roman" w:cs="Times New Roman"/>
          <w:b/>
          <w:bCs/>
          <w:sz w:val="24"/>
          <w:szCs w:val="24"/>
          <w:lang w:val="bg-BG"/>
        </w:rPr>
        <w:t>40</w:t>
      </w:r>
      <w:r w:rsidRPr="0067044F">
        <w:rPr>
          <w:rFonts w:ascii="Times New Roman" w:eastAsia="Calibri" w:hAnsi="Times New Roman" w:cs="Times New Roman"/>
          <w:sz w:val="24"/>
          <w:szCs w:val="24"/>
          <w:lang w:val="bg-BG"/>
        </w:rPr>
        <w:t>/100))</w:t>
      </w:r>
    </w:p>
    <w:p w14:paraId="771EBE63" w14:textId="330BF45B" w:rsidR="00240F79" w:rsidRPr="0067044F" w:rsidRDefault="00240F79" w:rsidP="00240F79">
      <w:pPr>
        <w:pStyle w:val="ListParagraph"/>
        <w:spacing w:after="0" w:line="360" w:lineRule="auto"/>
        <w:ind w:left="99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lastRenderedPageBreak/>
        <w:t>•</w:t>
      </w:r>
      <w:r w:rsidRPr="0067044F">
        <w:rPr>
          <w:rFonts w:ascii="Times New Roman" w:eastAsia="Calibri" w:hAnsi="Times New Roman" w:cs="Times New Roman"/>
          <w:sz w:val="24"/>
          <w:szCs w:val="24"/>
          <w:lang w:val="bg-BG"/>
        </w:rPr>
        <w:tab/>
        <w:t>60 – за трета група (включващ диапазона от 41% до 60%) и е приложена формулата:</w:t>
      </w:r>
    </w:p>
    <w:p w14:paraId="1B7AE493" w14:textId="49462E5D" w:rsidR="00240F79" w:rsidRPr="0067044F" w:rsidRDefault="00240F79" w:rsidP="00240F79">
      <w:pPr>
        <w:pStyle w:val="ListParagraph"/>
        <w:spacing w:after="0" w:line="360" w:lineRule="auto"/>
        <w:ind w:left="99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=SUM(PERCENTILE.EXC($O$4:$O$382,</w:t>
      </w:r>
      <w:r w:rsidRPr="0067044F">
        <w:rPr>
          <w:rFonts w:ascii="Times New Roman" w:eastAsia="Calibri" w:hAnsi="Times New Roman" w:cs="Times New Roman"/>
          <w:b/>
          <w:bCs/>
          <w:sz w:val="24"/>
          <w:szCs w:val="24"/>
          <w:lang w:val="bg-BG"/>
        </w:rPr>
        <w:t>60</w:t>
      </w:r>
      <w:r w:rsidRPr="0067044F">
        <w:rPr>
          <w:rFonts w:ascii="Times New Roman" w:eastAsia="Calibri" w:hAnsi="Times New Roman" w:cs="Times New Roman"/>
          <w:sz w:val="24"/>
          <w:szCs w:val="24"/>
          <w:lang w:val="bg-BG"/>
        </w:rPr>
        <w:t>/100))</w:t>
      </w:r>
    </w:p>
    <w:p w14:paraId="1A575EF9" w14:textId="1294E7C8" w:rsidR="00240F79" w:rsidRPr="0067044F" w:rsidRDefault="00240F79" w:rsidP="00240F79">
      <w:pPr>
        <w:pStyle w:val="ListParagraph"/>
        <w:spacing w:after="0" w:line="360" w:lineRule="auto"/>
        <w:ind w:left="99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w:t>
      </w:r>
      <w:r w:rsidRPr="0067044F">
        <w:rPr>
          <w:rFonts w:ascii="Times New Roman" w:eastAsia="Calibri" w:hAnsi="Times New Roman" w:cs="Times New Roman"/>
          <w:sz w:val="24"/>
          <w:szCs w:val="24"/>
          <w:lang w:val="bg-BG"/>
        </w:rPr>
        <w:tab/>
        <w:t xml:space="preserve">80 – за втора група (включващ диапазона от </w:t>
      </w:r>
      <w:r w:rsidR="00536A24" w:rsidRPr="0067044F">
        <w:rPr>
          <w:rFonts w:ascii="Times New Roman" w:eastAsia="Calibri" w:hAnsi="Times New Roman" w:cs="Times New Roman"/>
          <w:sz w:val="24"/>
          <w:szCs w:val="24"/>
          <w:lang w:val="bg-BG"/>
        </w:rPr>
        <w:t>6</w:t>
      </w:r>
      <w:r w:rsidRPr="0067044F">
        <w:rPr>
          <w:rFonts w:ascii="Times New Roman" w:eastAsia="Calibri" w:hAnsi="Times New Roman" w:cs="Times New Roman"/>
          <w:sz w:val="24"/>
          <w:szCs w:val="24"/>
          <w:lang w:val="bg-BG"/>
        </w:rPr>
        <w:t xml:space="preserve">1% до </w:t>
      </w:r>
      <w:r w:rsidR="00536A24" w:rsidRPr="0067044F">
        <w:rPr>
          <w:rFonts w:ascii="Times New Roman" w:eastAsia="Calibri" w:hAnsi="Times New Roman" w:cs="Times New Roman"/>
          <w:sz w:val="24"/>
          <w:szCs w:val="24"/>
          <w:lang w:val="bg-BG"/>
        </w:rPr>
        <w:t>8</w:t>
      </w:r>
      <w:r w:rsidRPr="0067044F">
        <w:rPr>
          <w:rFonts w:ascii="Times New Roman" w:eastAsia="Calibri" w:hAnsi="Times New Roman" w:cs="Times New Roman"/>
          <w:sz w:val="24"/>
          <w:szCs w:val="24"/>
          <w:lang w:val="bg-BG"/>
        </w:rPr>
        <w:t>0%) и е приложена формулата:</w:t>
      </w:r>
    </w:p>
    <w:p w14:paraId="246D85D8" w14:textId="7E73C4EF" w:rsidR="00240F79" w:rsidRPr="0067044F" w:rsidRDefault="00240F79" w:rsidP="00240F79">
      <w:pPr>
        <w:pStyle w:val="ListParagraph"/>
        <w:spacing w:after="0" w:line="360" w:lineRule="auto"/>
        <w:ind w:left="99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=SUM(PERCENTILE.EXC($O$4:$O$382,</w:t>
      </w:r>
      <w:r w:rsidR="00536A24" w:rsidRPr="0067044F">
        <w:rPr>
          <w:rFonts w:ascii="Times New Roman" w:eastAsia="Calibri" w:hAnsi="Times New Roman" w:cs="Times New Roman"/>
          <w:b/>
          <w:bCs/>
          <w:sz w:val="24"/>
          <w:szCs w:val="24"/>
          <w:lang w:val="bg-BG"/>
        </w:rPr>
        <w:t>8</w:t>
      </w:r>
      <w:r w:rsidRPr="0067044F">
        <w:rPr>
          <w:rFonts w:ascii="Times New Roman" w:eastAsia="Calibri" w:hAnsi="Times New Roman" w:cs="Times New Roman"/>
          <w:b/>
          <w:bCs/>
          <w:sz w:val="24"/>
          <w:szCs w:val="24"/>
          <w:lang w:val="bg-BG"/>
        </w:rPr>
        <w:t>0</w:t>
      </w:r>
      <w:r w:rsidRPr="0067044F">
        <w:rPr>
          <w:rFonts w:ascii="Times New Roman" w:eastAsia="Calibri" w:hAnsi="Times New Roman" w:cs="Times New Roman"/>
          <w:sz w:val="24"/>
          <w:szCs w:val="24"/>
          <w:lang w:val="bg-BG"/>
        </w:rPr>
        <w:t>/100))</w:t>
      </w:r>
    </w:p>
    <w:p w14:paraId="3A570E3E" w14:textId="77777777" w:rsidR="00897F31" w:rsidRPr="0067044F" w:rsidRDefault="00897F31" w:rsidP="00240F79">
      <w:pPr>
        <w:pStyle w:val="ListParagraph"/>
        <w:spacing w:after="0" w:line="360" w:lineRule="auto"/>
        <w:ind w:left="990"/>
        <w:jc w:val="both"/>
        <w:rPr>
          <w:rFonts w:ascii="Times New Roman" w:eastAsia="Calibri" w:hAnsi="Times New Roman" w:cs="Times New Roman"/>
          <w:sz w:val="24"/>
          <w:szCs w:val="24"/>
          <w:lang w:val="bg-BG"/>
        </w:rPr>
      </w:pPr>
    </w:p>
    <w:p w14:paraId="779334FA" w14:textId="79D160F1" w:rsidR="00536A24" w:rsidRPr="0067044F" w:rsidRDefault="00536A24" w:rsidP="00897F31">
      <w:pPr>
        <w:spacing w:after="0" w:line="360" w:lineRule="auto"/>
        <w:ind w:firstLine="270"/>
        <w:jc w:val="both"/>
        <w:rPr>
          <w:rFonts w:ascii="Times New Roman" w:eastAsia="Calibri" w:hAnsi="Times New Roman" w:cs="Times New Roman"/>
          <w:b/>
          <w:bCs/>
          <w:sz w:val="24"/>
          <w:szCs w:val="24"/>
          <w:lang w:val="bg-BG"/>
        </w:rPr>
      </w:pPr>
      <w:r w:rsidRPr="0067044F">
        <w:rPr>
          <w:rFonts w:ascii="Times New Roman" w:eastAsia="Calibri" w:hAnsi="Times New Roman" w:cs="Times New Roman"/>
          <w:b/>
          <w:bCs/>
          <w:sz w:val="24"/>
          <w:szCs w:val="24"/>
          <w:lang w:val="bg-BG"/>
        </w:rPr>
        <w:t>Остатъчната стойност на извадката</w:t>
      </w:r>
      <w:r w:rsidRPr="0067044F">
        <w:rPr>
          <w:rFonts w:ascii="Times New Roman" w:eastAsia="Calibri" w:hAnsi="Times New Roman" w:cs="Times New Roman"/>
          <w:sz w:val="24"/>
          <w:szCs w:val="24"/>
          <w:lang w:val="bg-BG"/>
        </w:rPr>
        <w:t xml:space="preserve"> след прилагане на формулата за разпределяне на </w:t>
      </w:r>
      <w:r w:rsidR="00401AEF" w:rsidRPr="0067044F">
        <w:rPr>
          <w:rFonts w:ascii="Times New Roman" w:eastAsia="Calibri" w:hAnsi="Times New Roman" w:cs="Times New Roman"/>
          <w:sz w:val="24"/>
          <w:szCs w:val="24"/>
          <w:lang w:val="bg-BG"/>
        </w:rPr>
        <w:t>образователните институции по вид и по район на планиране</w:t>
      </w:r>
      <w:r w:rsidRPr="0067044F">
        <w:rPr>
          <w:rFonts w:ascii="Times New Roman" w:eastAsia="Calibri" w:hAnsi="Times New Roman" w:cs="Times New Roman"/>
          <w:sz w:val="24"/>
          <w:szCs w:val="24"/>
          <w:lang w:val="bg-BG"/>
        </w:rPr>
        <w:t xml:space="preserve"> от пета до втора група, включително, </w:t>
      </w:r>
      <w:r w:rsidRPr="0067044F">
        <w:rPr>
          <w:rFonts w:ascii="Times New Roman" w:eastAsia="Calibri" w:hAnsi="Times New Roman" w:cs="Times New Roman"/>
          <w:b/>
          <w:bCs/>
          <w:sz w:val="24"/>
          <w:szCs w:val="24"/>
          <w:lang w:val="bg-BG"/>
        </w:rPr>
        <w:t>представлява първа група (най-високата група)</w:t>
      </w:r>
      <w:r w:rsidR="00401AEF" w:rsidRPr="0067044F">
        <w:rPr>
          <w:rFonts w:ascii="Times New Roman" w:eastAsia="Calibri" w:hAnsi="Times New Roman" w:cs="Times New Roman"/>
          <w:b/>
          <w:bCs/>
          <w:sz w:val="24"/>
          <w:szCs w:val="24"/>
          <w:lang w:val="bg-BG"/>
        </w:rPr>
        <w:t>.</w:t>
      </w:r>
    </w:p>
    <w:p w14:paraId="63B2932B" w14:textId="77777777" w:rsidR="0098430F" w:rsidRPr="0067044F" w:rsidRDefault="0098430F" w:rsidP="00536A24">
      <w:pPr>
        <w:spacing w:after="0" w:line="360" w:lineRule="auto"/>
        <w:jc w:val="both"/>
        <w:rPr>
          <w:rFonts w:ascii="Times New Roman" w:eastAsia="Calibri" w:hAnsi="Times New Roman" w:cs="Times New Roman"/>
          <w:b/>
          <w:bCs/>
          <w:sz w:val="24"/>
          <w:szCs w:val="24"/>
          <w:lang w:val="bg-BG"/>
        </w:rPr>
      </w:pPr>
    </w:p>
    <w:p w14:paraId="38DA7259" w14:textId="000DD1C4" w:rsidR="00A458D6" w:rsidRDefault="00A458D6" w:rsidP="0060151E">
      <w:pPr>
        <w:spacing w:after="0" w:line="360" w:lineRule="auto"/>
        <w:ind w:firstLine="450"/>
        <w:jc w:val="both"/>
        <w:rPr>
          <w:rFonts w:ascii="Times New Roman" w:eastAsia="Calibri" w:hAnsi="Times New Roman" w:cs="Times New Roman"/>
          <w:sz w:val="24"/>
          <w:szCs w:val="24"/>
          <w:lang w:val="bg-BG"/>
        </w:rPr>
      </w:pPr>
      <w:r w:rsidRPr="0067044F">
        <w:rPr>
          <w:rFonts w:ascii="Times New Roman" w:eastAsia="Calibri" w:hAnsi="Times New Roman" w:cs="Times New Roman"/>
          <w:sz w:val="24"/>
          <w:szCs w:val="24"/>
          <w:lang w:val="bg-BG"/>
        </w:rPr>
        <w:t xml:space="preserve">В случаите когато </w:t>
      </w:r>
      <w:r w:rsidR="007C21F1">
        <w:rPr>
          <w:rFonts w:ascii="Times New Roman" w:eastAsia="Calibri" w:hAnsi="Times New Roman" w:cs="Times New Roman"/>
          <w:sz w:val="24"/>
          <w:szCs w:val="24"/>
          <w:lang w:val="bg-BG"/>
        </w:rPr>
        <w:t xml:space="preserve">съвкупността на </w:t>
      </w:r>
      <w:r w:rsidRPr="0067044F">
        <w:rPr>
          <w:rFonts w:ascii="Times New Roman" w:eastAsia="Calibri" w:hAnsi="Times New Roman" w:cs="Times New Roman"/>
          <w:sz w:val="24"/>
          <w:szCs w:val="24"/>
          <w:lang w:val="bg-BG"/>
        </w:rPr>
        <w:t>данни</w:t>
      </w:r>
      <w:r w:rsidR="007C21F1">
        <w:rPr>
          <w:rFonts w:ascii="Times New Roman" w:eastAsia="Calibri" w:hAnsi="Times New Roman" w:cs="Times New Roman"/>
          <w:sz w:val="24"/>
          <w:szCs w:val="24"/>
          <w:lang w:val="bg-BG"/>
        </w:rPr>
        <w:t>те</w:t>
      </w:r>
      <w:r w:rsidRPr="0067044F">
        <w:rPr>
          <w:rFonts w:ascii="Times New Roman" w:eastAsia="Calibri" w:hAnsi="Times New Roman" w:cs="Times New Roman"/>
          <w:sz w:val="24"/>
          <w:szCs w:val="24"/>
          <w:lang w:val="bg-BG"/>
        </w:rPr>
        <w:t xml:space="preserve"> е много малка за някой вид образователна институция в съответния район на планиране</w:t>
      </w:r>
      <w:r w:rsidR="005522FF" w:rsidRPr="0067044F">
        <w:rPr>
          <w:rFonts w:ascii="Times New Roman" w:eastAsia="Calibri" w:hAnsi="Times New Roman" w:cs="Times New Roman"/>
          <w:sz w:val="24"/>
          <w:szCs w:val="24"/>
          <w:lang w:val="bg-BG"/>
        </w:rPr>
        <w:t>, т.е. включва малък брой институции и те са с много близки оценки по Методологията за приоритизиране на обектите на образователната инфраструктура на територията на Република България</w:t>
      </w:r>
      <w:r w:rsidR="0060151E">
        <w:rPr>
          <w:rFonts w:ascii="Times New Roman" w:eastAsia="Calibri" w:hAnsi="Times New Roman" w:cs="Times New Roman"/>
          <w:sz w:val="24"/>
          <w:szCs w:val="24"/>
          <w:lang w:val="bg-BG"/>
        </w:rPr>
        <w:t xml:space="preserve"> </w:t>
      </w:r>
      <w:r w:rsidR="003A586A">
        <w:rPr>
          <w:rFonts w:ascii="Times New Roman" w:eastAsia="Calibri" w:hAnsi="Times New Roman" w:cs="Times New Roman"/>
          <w:sz w:val="24"/>
          <w:szCs w:val="24"/>
          <w:lang w:val="bg-BG"/>
        </w:rPr>
        <w:t>и</w:t>
      </w:r>
      <w:r w:rsidR="001046B1">
        <w:rPr>
          <w:rFonts w:ascii="Times New Roman" w:eastAsia="Calibri" w:hAnsi="Times New Roman" w:cs="Times New Roman"/>
          <w:sz w:val="24"/>
          <w:szCs w:val="24"/>
          <w:lang w:val="bg-BG"/>
        </w:rPr>
        <w:t xml:space="preserve"> </w:t>
      </w:r>
      <w:r w:rsidR="007C21F1" w:rsidRPr="007C21F1">
        <w:rPr>
          <w:rFonts w:ascii="Times New Roman" w:eastAsia="Calibri" w:hAnsi="Times New Roman" w:cs="Times New Roman"/>
          <w:sz w:val="24"/>
          <w:szCs w:val="24"/>
          <w:lang w:val="bg-BG"/>
        </w:rPr>
        <w:t xml:space="preserve">при прилагането на </w:t>
      </w:r>
      <w:proofErr w:type="spellStart"/>
      <w:r w:rsidR="007C21F1" w:rsidRPr="007C21F1">
        <w:rPr>
          <w:rFonts w:ascii="Times New Roman" w:eastAsia="Calibri" w:hAnsi="Times New Roman" w:cs="Times New Roman"/>
          <w:sz w:val="24"/>
          <w:szCs w:val="24"/>
          <w:lang w:val="bg-BG"/>
        </w:rPr>
        <w:t>процентили</w:t>
      </w:r>
      <w:proofErr w:type="spellEnd"/>
      <w:r w:rsidR="007C21F1" w:rsidRPr="007C21F1">
        <w:rPr>
          <w:rFonts w:ascii="Times New Roman" w:eastAsia="Calibri" w:hAnsi="Times New Roman" w:cs="Times New Roman"/>
          <w:sz w:val="24"/>
          <w:szCs w:val="24"/>
          <w:lang w:val="bg-BG"/>
        </w:rPr>
        <w:t xml:space="preserve"> </w:t>
      </w:r>
      <w:r w:rsidR="001046B1">
        <w:rPr>
          <w:rFonts w:ascii="Times New Roman" w:eastAsia="Calibri" w:hAnsi="Times New Roman" w:cs="Times New Roman"/>
          <w:sz w:val="24"/>
          <w:szCs w:val="24"/>
          <w:lang w:val="bg-BG"/>
        </w:rPr>
        <w:t>данните</w:t>
      </w:r>
      <w:r w:rsidR="007C21F1">
        <w:rPr>
          <w:rFonts w:ascii="Times New Roman" w:eastAsia="Calibri" w:hAnsi="Times New Roman" w:cs="Times New Roman"/>
          <w:sz w:val="24"/>
          <w:szCs w:val="24"/>
          <w:lang w:val="bg-BG"/>
        </w:rPr>
        <w:t xml:space="preserve"> </w:t>
      </w:r>
      <w:r w:rsidR="003A586A">
        <w:rPr>
          <w:rFonts w:ascii="Times New Roman" w:eastAsia="Calibri" w:hAnsi="Times New Roman" w:cs="Times New Roman"/>
          <w:sz w:val="24"/>
          <w:szCs w:val="24"/>
          <w:lang w:val="bg-BG"/>
        </w:rPr>
        <w:t>са</w:t>
      </w:r>
      <w:r w:rsidR="007C21F1">
        <w:rPr>
          <w:rFonts w:ascii="Times New Roman" w:eastAsia="Calibri" w:hAnsi="Times New Roman" w:cs="Times New Roman"/>
          <w:sz w:val="24"/>
          <w:szCs w:val="24"/>
          <w:lang w:val="bg-BG"/>
        </w:rPr>
        <w:t xml:space="preserve"> групирани</w:t>
      </w:r>
      <w:r w:rsidR="003A586A">
        <w:rPr>
          <w:rFonts w:ascii="Times New Roman" w:eastAsia="Calibri" w:hAnsi="Times New Roman" w:cs="Times New Roman"/>
          <w:sz w:val="24"/>
          <w:szCs w:val="24"/>
          <w:lang w:val="bg-BG"/>
        </w:rPr>
        <w:t xml:space="preserve"> само в последните групи </w:t>
      </w:r>
      <w:r w:rsidR="003A586A" w:rsidRPr="003A586A">
        <w:rPr>
          <w:rFonts w:ascii="Times New Roman" w:eastAsia="Calibri" w:hAnsi="Times New Roman" w:cs="Times New Roman"/>
          <w:sz w:val="24"/>
          <w:szCs w:val="24"/>
          <w:lang w:val="bg-BG"/>
        </w:rPr>
        <w:t>(</w:t>
      </w:r>
      <w:r w:rsidR="003A586A">
        <w:rPr>
          <w:rFonts w:ascii="Times New Roman" w:eastAsia="Calibri" w:hAnsi="Times New Roman" w:cs="Times New Roman"/>
          <w:sz w:val="24"/>
          <w:szCs w:val="24"/>
          <w:lang w:val="bg-BG"/>
        </w:rPr>
        <w:t>от пета до втора група</w:t>
      </w:r>
      <w:r w:rsidR="003A586A" w:rsidRPr="003A586A">
        <w:rPr>
          <w:rFonts w:ascii="Times New Roman" w:eastAsia="Calibri" w:hAnsi="Times New Roman" w:cs="Times New Roman"/>
          <w:sz w:val="24"/>
          <w:szCs w:val="24"/>
          <w:lang w:val="bg-BG"/>
        </w:rPr>
        <w:t>)</w:t>
      </w:r>
      <w:r w:rsidR="00CF5B59">
        <w:rPr>
          <w:rFonts w:ascii="Times New Roman" w:eastAsia="Calibri" w:hAnsi="Times New Roman" w:cs="Times New Roman"/>
          <w:sz w:val="24"/>
          <w:szCs w:val="24"/>
          <w:lang w:val="bg-BG"/>
        </w:rPr>
        <w:t xml:space="preserve">, </w:t>
      </w:r>
      <w:r w:rsidR="005D0E03">
        <w:rPr>
          <w:rFonts w:ascii="Times New Roman" w:eastAsia="Calibri" w:hAnsi="Times New Roman" w:cs="Times New Roman"/>
          <w:sz w:val="24"/>
          <w:szCs w:val="24"/>
          <w:lang w:val="bg-BG"/>
        </w:rPr>
        <w:t>е извършено ръчно изместване</w:t>
      </w:r>
      <w:r w:rsidR="007F173C">
        <w:rPr>
          <w:rFonts w:ascii="Times New Roman" w:eastAsia="Calibri" w:hAnsi="Times New Roman" w:cs="Times New Roman"/>
          <w:sz w:val="24"/>
          <w:szCs w:val="24"/>
          <w:lang w:val="bg-BG"/>
        </w:rPr>
        <w:t xml:space="preserve"> на групираните данни </w:t>
      </w:r>
      <w:r w:rsidR="005D0E03">
        <w:rPr>
          <w:rFonts w:ascii="Times New Roman" w:eastAsia="Calibri" w:hAnsi="Times New Roman" w:cs="Times New Roman"/>
          <w:sz w:val="24"/>
          <w:szCs w:val="24"/>
          <w:lang w:val="bg-BG"/>
        </w:rPr>
        <w:t>с една група напред</w:t>
      </w:r>
      <w:r w:rsidR="007F173C">
        <w:rPr>
          <w:rFonts w:ascii="Times New Roman" w:eastAsia="Calibri" w:hAnsi="Times New Roman" w:cs="Times New Roman"/>
          <w:sz w:val="24"/>
          <w:szCs w:val="24"/>
          <w:lang w:val="bg-BG"/>
        </w:rPr>
        <w:t>, съответно от пета в четвърта група, от четвърта в трета група, от трета във втора група, от втора в първа група</w:t>
      </w:r>
      <w:r w:rsidR="005522FF" w:rsidRPr="0067044F">
        <w:rPr>
          <w:rFonts w:ascii="Times New Roman" w:eastAsia="Calibri" w:hAnsi="Times New Roman" w:cs="Times New Roman"/>
          <w:sz w:val="24"/>
          <w:szCs w:val="24"/>
          <w:lang w:val="bg-BG"/>
        </w:rPr>
        <w:t>.</w:t>
      </w:r>
    </w:p>
    <w:p w14:paraId="369E3334" w14:textId="77777777" w:rsidR="00C978D7" w:rsidRPr="0067044F" w:rsidRDefault="00C978D7" w:rsidP="00897F31">
      <w:pPr>
        <w:spacing w:after="0" w:line="360" w:lineRule="auto"/>
        <w:ind w:firstLine="270"/>
        <w:jc w:val="both"/>
        <w:rPr>
          <w:rFonts w:ascii="Times New Roman" w:eastAsia="Calibri" w:hAnsi="Times New Roman" w:cs="Times New Roman"/>
          <w:sz w:val="24"/>
          <w:szCs w:val="24"/>
          <w:lang w:val="bg-BG"/>
        </w:rPr>
      </w:pPr>
    </w:p>
    <w:p w14:paraId="03CCC053" w14:textId="66835AFF" w:rsidR="008C22B9" w:rsidRDefault="008C22B9" w:rsidP="004B6CF1">
      <w:pPr>
        <w:spacing w:after="0" w:line="360" w:lineRule="auto"/>
        <w:ind w:firstLine="450"/>
        <w:jc w:val="both"/>
        <w:rPr>
          <w:rFonts w:ascii="Times New Roman" w:eastAsia="Calibri" w:hAnsi="Times New Roman" w:cs="Times New Roman"/>
          <w:sz w:val="24"/>
          <w:szCs w:val="24"/>
          <w:lang w:val="bg-BG"/>
        </w:rPr>
      </w:pPr>
      <w:r w:rsidRPr="008C22B9">
        <w:rPr>
          <w:rFonts w:ascii="Times New Roman" w:eastAsia="Calibri" w:hAnsi="Times New Roman" w:cs="Times New Roman"/>
          <w:sz w:val="24"/>
          <w:szCs w:val="24"/>
          <w:lang w:val="bg-BG"/>
        </w:rPr>
        <w:t>От всеки вид образователни институции за всеки район на планиране, в първия срок за кандидатстване, са допустими за кандидатстване с проектни предложения само образователните институциите с най-висок общ брой точки (институциите от първа група), които се конкурират по между си на ниво район на планиране. Така се осигурява балансирано териториално покритие, като във всеки район ще се финансират училища от списъка с най-висок брой точки, т.е. от най-приоритетните и важни образователни институции по Методологията за приоритизиране на обектите на образователната инфраструктура.</w:t>
      </w:r>
    </w:p>
    <w:p w14:paraId="5846C77F" w14:textId="77777777" w:rsidR="001E2EE6" w:rsidRPr="008C22B9" w:rsidRDefault="001E2EE6" w:rsidP="004B6CF1">
      <w:pPr>
        <w:spacing w:after="0" w:line="360" w:lineRule="auto"/>
        <w:ind w:firstLine="450"/>
        <w:jc w:val="both"/>
        <w:rPr>
          <w:rFonts w:ascii="Times New Roman" w:eastAsia="Calibri" w:hAnsi="Times New Roman" w:cs="Times New Roman"/>
          <w:sz w:val="24"/>
          <w:szCs w:val="24"/>
          <w:lang w:val="bg-BG"/>
        </w:rPr>
      </w:pPr>
    </w:p>
    <w:p w14:paraId="60FADE15" w14:textId="77777777" w:rsidR="008C22B9" w:rsidRPr="008C22B9" w:rsidRDefault="008C22B9" w:rsidP="004B6CF1">
      <w:pPr>
        <w:spacing w:after="0" w:line="360" w:lineRule="auto"/>
        <w:ind w:firstLine="270"/>
        <w:jc w:val="both"/>
        <w:rPr>
          <w:rFonts w:ascii="Times New Roman" w:eastAsia="Calibri" w:hAnsi="Times New Roman" w:cs="Times New Roman"/>
          <w:sz w:val="24"/>
          <w:szCs w:val="24"/>
          <w:lang w:val="bg-BG"/>
        </w:rPr>
      </w:pPr>
      <w:r w:rsidRPr="008C22B9">
        <w:rPr>
          <w:rFonts w:ascii="Times New Roman" w:eastAsia="Calibri" w:hAnsi="Times New Roman" w:cs="Times New Roman"/>
          <w:sz w:val="24"/>
          <w:szCs w:val="24"/>
          <w:lang w:val="bg-BG"/>
        </w:rPr>
        <w:t xml:space="preserve">След приключване на оценката и договарянето по първия срок за кандидатстване, в случай че е останал свободен ресурс, ще бъде обявен втори срок за кандидатстване с проектни предложения. Допустими за участие ще бъдат, както училищата от първа група, които не са кандидатствали в първия срок, или са кандидатствали, но не са финансирани, така и училищата от втора група. </w:t>
      </w:r>
    </w:p>
    <w:sectPr w:rsidR="008C22B9" w:rsidRPr="008C22B9" w:rsidSect="0067044F">
      <w:pgSz w:w="11906" w:h="16838"/>
      <w:pgMar w:top="144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D41"/>
    <w:multiLevelType w:val="hybridMultilevel"/>
    <w:tmpl w:val="689EE5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66B214C1"/>
    <w:multiLevelType w:val="hybridMultilevel"/>
    <w:tmpl w:val="A4C474E4"/>
    <w:lvl w:ilvl="0" w:tplc="D12AF600">
      <w:start w:val="1"/>
      <w:numFmt w:val="decimal"/>
      <w:lvlText w:val="%1."/>
      <w:lvlJc w:val="left"/>
      <w:pPr>
        <w:ind w:left="63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8A"/>
    <w:rsid w:val="00025960"/>
    <w:rsid w:val="001007B1"/>
    <w:rsid w:val="001046B1"/>
    <w:rsid w:val="001E2EE6"/>
    <w:rsid w:val="002238CC"/>
    <w:rsid w:val="00240F79"/>
    <w:rsid w:val="00261631"/>
    <w:rsid w:val="003A586A"/>
    <w:rsid w:val="003D46A6"/>
    <w:rsid w:val="00401AEF"/>
    <w:rsid w:val="004B6CF1"/>
    <w:rsid w:val="004C2080"/>
    <w:rsid w:val="00536A24"/>
    <w:rsid w:val="005522FF"/>
    <w:rsid w:val="005D0E03"/>
    <w:rsid w:val="0060151E"/>
    <w:rsid w:val="0067044F"/>
    <w:rsid w:val="0077198A"/>
    <w:rsid w:val="007C21F1"/>
    <w:rsid w:val="007F173C"/>
    <w:rsid w:val="00897F31"/>
    <w:rsid w:val="008C22B9"/>
    <w:rsid w:val="008C4BD1"/>
    <w:rsid w:val="0098430F"/>
    <w:rsid w:val="00A458D6"/>
    <w:rsid w:val="00A86437"/>
    <w:rsid w:val="00AD2602"/>
    <w:rsid w:val="00AE25A4"/>
    <w:rsid w:val="00C11F99"/>
    <w:rsid w:val="00C946A4"/>
    <w:rsid w:val="00C978D7"/>
    <w:rsid w:val="00CB2650"/>
    <w:rsid w:val="00CF19D0"/>
    <w:rsid w:val="00CF5B59"/>
    <w:rsid w:val="00F4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0BEC"/>
  <w15:chartTrackingRefBased/>
  <w15:docId w15:val="{4FF91731-A4AB-47B6-BA8B-3F3E3176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79"/>
    <w:pPr>
      <w:ind w:left="720"/>
      <w:contextualSpacing/>
    </w:pPr>
  </w:style>
  <w:style w:type="character" w:styleId="Hyperlink">
    <w:name w:val="Hyperlink"/>
    <w:basedOn w:val="DefaultParagraphFont"/>
    <w:uiPriority w:val="99"/>
    <w:semiHidden/>
    <w:unhideWhenUsed/>
    <w:rsid w:val="0060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93219">
      <w:bodyDiv w:val="1"/>
      <w:marLeft w:val="0"/>
      <w:marRight w:val="0"/>
      <w:marTop w:val="0"/>
      <w:marBottom w:val="0"/>
      <w:divBdr>
        <w:top w:val="none" w:sz="0" w:space="0" w:color="auto"/>
        <w:left w:val="none" w:sz="0" w:space="0" w:color="auto"/>
        <w:bottom w:val="none" w:sz="0" w:space="0" w:color="auto"/>
        <w:right w:val="none" w:sz="0" w:space="0" w:color="auto"/>
      </w:divBdr>
    </w:div>
    <w:div w:id="17713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bg/bg/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Ivan Popov</cp:lastModifiedBy>
  <cp:revision>2</cp:revision>
  <dcterms:created xsi:type="dcterms:W3CDTF">2022-04-15T12:05:00Z</dcterms:created>
  <dcterms:modified xsi:type="dcterms:W3CDTF">2022-04-15T12:05:00Z</dcterms:modified>
</cp:coreProperties>
</file>