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00BA" w14:textId="05A09B14" w:rsidR="00C12ECE" w:rsidRPr="003C60F7" w:rsidRDefault="00945ECF" w:rsidP="005259E1">
      <w:pPr>
        <w:spacing w:before="120" w:after="120"/>
        <w:jc w:val="right"/>
        <w:rPr>
          <w:b/>
        </w:rPr>
      </w:pPr>
      <w:r w:rsidRPr="003C60F7">
        <w:rPr>
          <w:b/>
        </w:rPr>
        <w:t xml:space="preserve">Приложение </w:t>
      </w:r>
      <w:r w:rsidR="00953DFB" w:rsidRPr="003C60F7">
        <w:rPr>
          <w:b/>
        </w:rPr>
        <w:t>I</w:t>
      </w:r>
    </w:p>
    <w:p w14:paraId="34CC9A77" w14:textId="77777777" w:rsidR="00252112" w:rsidRPr="003C60F7" w:rsidRDefault="00761121" w:rsidP="005259E1">
      <w:pPr>
        <w:tabs>
          <w:tab w:val="left" w:pos="3060"/>
        </w:tabs>
        <w:spacing w:before="120" w:after="120"/>
        <w:ind w:right="23"/>
        <w:jc w:val="center"/>
        <w:rPr>
          <w:b/>
        </w:rPr>
      </w:pPr>
      <w:r w:rsidRPr="003C60F7">
        <w:rPr>
          <w:b/>
        </w:rPr>
        <w:t>ТЕХНИЧЕСКО ЗАДАНИЕ</w:t>
      </w:r>
    </w:p>
    <w:p w14:paraId="284E983B" w14:textId="77777777" w:rsidR="00761121" w:rsidRPr="003C60F7" w:rsidRDefault="00761121" w:rsidP="005259E1">
      <w:pPr>
        <w:tabs>
          <w:tab w:val="left" w:pos="3060"/>
        </w:tabs>
        <w:spacing w:before="120" w:after="120"/>
        <w:ind w:right="23"/>
      </w:pPr>
    </w:p>
    <w:p w14:paraId="6A32D078" w14:textId="54ABF45A" w:rsidR="006569FA" w:rsidRPr="003C60F7" w:rsidRDefault="009F73E7" w:rsidP="00075DE4">
      <w:pPr>
        <w:tabs>
          <w:tab w:val="num" w:pos="0"/>
        </w:tabs>
        <w:spacing w:before="120" w:after="120"/>
        <w:jc w:val="both"/>
        <w:rPr>
          <w:b/>
        </w:rPr>
      </w:pPr>
      <w:r w:rsidRPr="003C60F7">
        <w:t>за</w:t>
      </w:r>
      <w:r w:rsidR="00FA72B0" w:rsidRPr="003C60F7">
        <w:t xml:space="preserve"> </w:t>
      </w:r>
      <w:r w:rsidR="006569FA" w:rsidRPr="003C60F7">
        <w:t xml:space="preserve">избор на </w:t>
      </w:r>
      <w:r w:rsidR="008E4FEE" w:rsidRPr="003C60F7">
        <w:t xml:space="preserve">ИЗПЪЛНИТЕЛ </w:t>
      </w:r>
      <w:r w:rsidR="006569FA" w:rsidRPr="003C60F7">
        <w:t>по Д</w:t>
      </w:r>
      <w:r w:rsidR="00FA72B0" w:rsidRPr="003C60F7">
        <w:t>ейност 1 „</w:t>
      </w:r>
      <w:r w:rsidR="006569FA" w:rsidRPr="003C60F7">
        <w:t>Подкрепа за професионално израстване и развитие на професионалните умения на педагогически специалисти чрез обучения, които завършват с присъждане на от 1 до 3 квалификационни кредита</w:t>
      </w:r>
      <w:r w:rsidR="00563136" w:rsidRPr="003C60F7">
        <w:t>,</w:t>
      </w:r>
      <w:r w:rsidR="006569FA" w:rsidRPr="003C60F7">
        <w:t xml:space="preserve"> съгласно </w:t>
      </w:r>
      <w:r w:rsidR="00563136" w:rsidRPr="003C60F7">
        <w:t xml:space="preserve">държавния образователен стандарт </w:t>
      </w:r>
      <w:r w:rsidR="006569FA" w:rsidRPr="003C60F7">
        <w:t>за статута и професионалното развитие на учителите, директорите и другите педагогически специалисти</w:t>
      </w:r>
      <w:r w:rsidR="00FA72B0" w:rsidRPr="003C60F7">
        <w:t>”</w:t>
      </w:r>
      <w:r w:rsidR="006569FA" w:rsidRPr="003C60F7">
        <w:t xml:space="preserve"> по проект </w:t>
      </w:r>
      <w:r w:rsidR="006569FA" w:rsidRPr="003C60F7">
        <w:rPr>
          <w:b/>
        </w:rPr>
        <w:t>BG05M20P001-2.010-0001</w:t>
      </w:r>
      <w:r w:rsidR="006569FA" w:rsidRPr="003C60F7">
        <w:t xml:space="preserve"> </w:t>
      </w:r>
      <w:r w:rsidR="006569FA" w:rsidRPr="003C60F7">
        <w:rPr>
          <w:b/>
        </w:rPr>
        <w:t>„Квалификация за професионално развитие на педагогическите специалисти“</w:t>
      </w:r>
      <w:r w:rsidR="00902DB6" w:rsidRPr="003C60F7">
        <w:rPr>
          <w:b/>
        </w:rPr>
        <w:t>,</w:t>
      </w:r>
      <w:r w:rsidR="00902DB6" w:rsidRPr="003C60F7">
        <w:t xml:space="preserve"> </w:t>
      </w:r>
      <w:r w:rsidR="00902DB6" w:rsidRPr="003C60F7">
        <w:rPr>
          <w:b/>
        </w:rPr>
        <w:t>финансиран от Оперативна програма „Наука и образование за интелигентен растеж“ 2014-2020</w:t>
      </w:r>
      <w:r w:rsidR="00075DE4" w:rsidRPr="003C60F7">
        <w:rPr>
          <w:b/>
        </w:rPr>
        <w:t xml:space="preserve"> г.</w:t>
      </w:r>
      <w:r w:rsidR="00902DB6" w:rsidRPr="003C60F7">
        <w:rPr>
          <w:b/>
        </w:rPr>
        <w:t>, съфинансиран от Европейския съюз чрез Европейските структурни и инвестиционни фондове</w:t>
      </w:r>
    </w:p>
    <w:p w14:paraId="3A747EE9" w14:textId="77777777" w:rsidR="003C0DE0" w:rsidRPr="003C60F7" w:rsidRDefault="003C0DE0" w:rsidP="005259E1">
      <w:pPr>
        <w:spacing w:before="120" w:after="120"/>
        <w:jc w:val="both"/>
      </w:pPr>
    </w:p>
    <w:p w14:paraId="7870C6D9" w14:textId="7E50F4B6" w:rsidR="006569FA" w:rsidRPr="003C60F7" w:rsidRDefault="006569FA" w:rsidP="005259E1">
      <w:pPr>
        <w:numPr>
          <w:ilvl w:val="0"/>
          <w:numId w:val="11"/>
        </w:numPr>
        <w:spacing w:before="120" w:after="120"/>
        <w:jc w:val="both"/>
        <w:rPr>
          <w:b/>
        </w:rPr>
      </w:pPr>
      <w:r w:rsidRPr="003C60F7">
        <w:rPr>
          <w:b/>
        </w:rPr>
        <w:t>П</w:t>
      </w:r>
      <w:r w:rsidR="003C0DE0" w:rsidRPr="003C60F7">
        <w:rPr>
          <w:b/>
        </w:rPr>
        <w:t xml:space="preserve">редмет на </w:t>
      </w:r>
      <w:r w:rsidR="00162317" w:rsidRPr="003C60F7">
        <w:rPr>
          <w:b/>
        </w:rPr>
        <w:t>възлагане</w:t>
      </w:r>
      <w:r w:rsidR="00B362E8" w:rsidRPr="003C60F7">
        <w:rPr>
          <w:b/>
        </w:rPr>
        <w:t>:</w:t>
      </w:r>
    </w:p>
    <w:p w14:paraId="45B19310" w14:textId="4863AC92" w:rsidR="002C4D9A" w:rsidRPr="003C60F7" w:rsidRDefault="00141F33" w:rsidP="00B30174">
      <w:pPr>
        <w:spacing w:before="120" w:after="120"/>
        <w:ind w:firstLine="567"/>
        <w:jc w:val="both"/>
      </w:pPr>
      <w:r w:rsidRPr="003C60F7">
        <w:t>Предоставяне на краткосрочни обучения, които завършват с присъждане на от 1 до 3 квалификационни кредита</w:t>
      </w:r>
      <w:r w:rsidR="002C4D9A" w:rsidRPr="003C60F7">
        <w:t>,</w:t>
      </w:r>
      <w:r w:rsidRPr="003C60F7">
        <w:t xml:space="preserve"> съгласно </w:t>
      </w:r>
      <w:r w:rsidR="002C4D9A" w:rsidRPr="003C60F7">
        <w:t xml:space="preserve">държавния образователен стандарт </w:t>
      </w:r>
      <w:r w:rsidRPr="003C60F7">
        <w:t>за статута и професионалното развитие на учителите, директорите и другите педагогически специалисти</w:t>
      </w:r>
      <w:r w:rsidR="002C4D9A" w:rsidRPr="003C60F7">
        <w:t>.</w:t>
      </w:r>
      <w:r w:rsidRPr="003C60F7">
        <w:t xml:space="preserve"> </w:t>
      </w:r>
    </w:p>
    <w:p w14:paraId="601617E3" w14:textId="1C71680E" w:rsidR="00AF2E6A" w:rsidRPr="003C60F7" w:rsidRDefault="00654370" w:rsidP="002C4D9A">
      <w:pPr>
        <w:spacing w:before="120" w:after="120"/>
        <w:ind w:firstLine="567"/>
        <w:jc w:val="both"/>
      </w:pPr>
      <w:r w:rsidRPr="003C60F7">
        <w:t>Съгласно Условията за кандидатстване и разписаното в проектното предложение, краткосрочните обучения не могат да бъдат насочени към повишаване на капацитета на педагогическите специалисти за работа в мултикултурна среда.</w:t>
      </w:r>
    </w:p>
    <w:p w14:paraId="75C37899" w14:textId="6DD4D0D4" w:rsidR="00654370" w:rsidRPr="003C60F7" w:rsidRDefault="00654370" w:rsidP="002C4D9A">
      <w:pPr>
        <w:spacing w:before="120" w:after="120"/>
        <w:ind w:firstLine="567"/>
        <w:jc w:val="both"/>
      </w:pPr>
      <w:r w:rsidRPr="003C60F7">
        <w:t>Проверката се извършва от конкретния бенефициент - МОН, след заявяване на програмите за участие в дейността.</w:t>
      </w:r>
    </w:p>
    <w:p w14:paraId="1AF2DC48" w14:textId="77777777" w:rsidR="00ED03E6" w:rsidRPr="003C60F7" w:rsidRDefault="00922647" w:rsidP="00922647">
      <w:pPr>
        <w:spacing w:before="120" w:after="120"/>
        <w:ind w:firstLine="567"/>
        <w:jc w:val="both"/>
        <w:rPr>
          <w:b/>
        </w:rPr>
      </w:pPr>
      <w:bookmarkStart w:id="0" w:name="_Toc523906569"/>
      <w:r w:rsidRPr="003C60F7">
        <w:rPr>
          <w:b/>
        </w:rPr>
        <w:t>Допустима ц</w:t>
      </w:r>
      <w:r w:rsidR="00ED03E6" w:rsidRPr="003C60F7">
        <w:rPr>
          <w:b/>
        </w:rPr>
        <w:t>елева група по проекта:</w:t>
      </w:r>
    </w:p>
    <w:p w14:paraId="71F985BA" w14:textId="77777777" w:rsidR="00ED03E6" w:rsidRPr="003C60F7" w:rsidRDefault="00ED03E6" w:rsidP="00922647">
      <w:pPr>
        <w:spacing w:before="120" w:after="120"/>
        <w:ind w:firstLine="567"/>
        <w:jc w:val="both"/>
      </w:pPr>
      <w:r w:rsidRPr="003C60F7">
        <w:t>Педагогическите специалисти (учители, директори и др. съгласно Закона за предучилищното и училищно образование, Глава 11, Раздел I, чл. 211), които работят в системата на предучилищното и училищното образование.</w:t>
      </w:r>
      <w:bookmarkEnd w:id="0"/>
    </w:p>
    <w:p w14:paraId="0C8C2D08" w14:textId="2010444E" w:rsidR="0080593E" w:rsidRPr="003C60F7" w:rsidRDefault="0080593E" w:rsidP="00922647">
      <w:pPr>
        <w:spacing w:before="120" w:after="120"/>
        <w:ind w:firstLine="567"/>
        <w:jc w:val="both"/>
      </w:pPr>
      <w:r w:rsidRPr="003C60F7">
        <w:t>За участие в проекта се допускат педагогически специалисти на възраст над 54 г., броят на които се определя в размер до 10% върху общия брой участници за сформирана група.</w:t>
      </w:r>
    </w:p>
    <w:p w14:paraId="78A83424" w14:textId="77777777" w:rsidR="00195B79" w:rsidRPr="003C60F7" w:rsidRDefault="00195B79" w:rsidP="00654370">
      <w:pPr>
        <w:spacing w:before="120" w:after="120"/>
        <w:jc w:val="both"/>
      </w:pPr>
    </w:p>
    <w:p w14:paraId="67E537AC" w14:textId="724CA9E0" w:rsidR="00A52B60" w:rsidRPr="003C60F7" w:rsidRDefault="00A21A8F" w:rsidP="005259E1">
      <w:pPr>
        <w:spacing w:before="120" w:after="120"/>
        <w:ind w:firstLine="567"/>
        <w:jc w:val="both"/>
        <w:rPr>
          <w:b/>
        </w:rPr>
      </w:pPr>
      <w:r w:rsidRPr="003C60F7">
        <w:rPr>
          <w:b/>
        </w:rPr>
        <w:t>II. Начин на формиране на стойността на обученията</w:t>
      </w:r>
      <w:r w:rsidR="00B859C9" w:rsidRPr="003C60F7">
        <w:rPr>
          <w:b/>
        </w:rPr>
        <w:t>:</w:t>
      </w:r>
    </w:p>
    <w:p w14:paraId="5F959F38" w14:textId="6FCB9F39" w:rsidR="00A21A8F" w:rsidRPr="003C60F7" w:rsidRDefault="00A21A8F" w:rsidP="005259E1">
      <w:pPr>
        <w:spacing w:before="120" w:after="120"/>
        <w:ind w:firstLine="567"/>
        <w:jc w:val="both"/>
      </w:pPr>
      <w:r w:rsidRPr="003C60F7">
        <w:t>Стойността на едно обучение се формира въз основа общия брой обучени лица по единичния разход, определен за един обучаем.</w:t>
      </w:r>
      <w:r w:rsidR="0014604E" w:rsidRPr="003C60F7">
        <w:t xml:space="preserve"> Отчитането на обучението се извършва само за успешно преминалите курса на обучение лица. </w:t>
      </w:r>
      <w:r w:rsidR="00CC4031" w:rsidRPr="003C60F7">
        <w:t>Всеки успешно обучен педагогически специалист получава удостоверение, с което му се присъждат от 1 до 3 квалификационни кредита</w:t>
      </w:r>
      <w:r w:rsidR="00D35413" w:rsidRPr="003C60F7">
        <w:t xml:space="preserve">, съгласно държавния образователен стандарт </w:t>
      </w:r>
      <w:r w:rsidR="0014604E" w:rsidRPr="003C60F7">
        <w:t>за статута и професионалното развитие на учителите, директорите и другите педагогически специалисти</w:t>
      </w:r>
      <w:r w:rsidR="005A7EAE" w:rsidRPr="003C60F7">
        <w:t>.</w:t>
      </w:r>
      <w:r w:rsidR="0014604E" w:rsidRPr="003C60F7">
        <w:t xml:space="preserve"> </w:t>
      </w:r>
    </w:p>
    <w:p w14:paraId="4A37DE3F" w14:textId="1DE67870" w:rsidR="009F0CB4" w:rsidRPr="003C60F7" w:rsidRDefault="00A52B60" w:rsidP="002B1BE2">
      <w:pPr>
        <w:spacing w:before="120" w:after="120"/>
        <w:ind w:firstLine="567"/>
        <w:jc w:val="both"/>
      </w:pPr>
      <w:r w:rsidRPr="003C60F7">
        <w:t>Единични</w:t>
      </w:r>
      <w:r w:rsidR="0014604E" w:rsidRPr="003C60F7">
        <w:t>ят</w:t>
      </w:r>
      <w:r w:rsidRPr="003C60F7">
        <w:t xml:space="preserve"> разход </w:t>
      </w:r>
      <w:r w:rsidR="0014604E" w:rsidRPr="003C60F7">
        <w:t xml:space="preserve">се определя по видове обучения за присъждане на квалификационен кредит </w:t>
      </w:r>
      <w:r w:rsidRPr="003C60F7">
        <w:t>за един успешно обучен педагогически специалист</w:t>
      </w:r>
      <w:r w:rsidR="0014604E" w:rsidRPr="003C60F7">
        <w:t xml:space="preserve"> на база </w:t>
      </w:r>
      <w:r w:rsidRPr="003C60F7">
        <w:t>стандартна</w:t>
      </w:r>
      <w:r w:rsidR="0014604E" w:rsidRPr="003C60F7">
        <w:t xml:space="preserve"> таблица на единичните разходи</w:t>
      </w:r>
      <w:r w:rsidR="003864D5" w:rsidRPr="003C60F7">
        <w:t>, както следва:</w:t>
      </w:r>
    </w:p>
    <w:p w14:paraId="16EC26D6" w14:textId="77777777" w:rsidR="00791DAB" w:rsidRPr="00791DAB" w:rsidRDefault="00791DAB" w:rsidP="00791DAB">
      <w:pPr>
        <w:numPr>
          <w:ilvl w:val="0"/>
          <w:numId w:val="1"/>
        </w:numPr>
        <w:spacing w:after="120" w:line="276" w:lineRule="auto"/>
        <w:ind w:left="851" w:hanging="284"/>
        <w:contextualSpacing/>
        <w:jc w:val="both"/>
        <w:rPr>
          <w:rFonts w:eastAsia="Calibri"/>
          <w:b/>
          <w:lang w:eastAsia="en-US"/>
        </w:rPr>
      </w:pPr>
      <w:r w:rsidRPr="00791DAB">
        <w:rPr>
          <w:rFonts w:eastAsia="Calibri"/>
          <w:b/>
          <w:lang w:eastAsia="en-US"/>
        </w:rPr>
        <w:lastRenderedPageBreak/>
        <w:t>Обучение на 1 педагогически специалист, за което е присъден 1 квалификационен кредит:</w:t>
      </w:r>
    </w:p>
    <w:p w14:paraId="7C9A9A8F" w14:textId="77777777" w:rsidR="00791DAB" w:rsidRPr="00791DAB" w:rsidRDefault="00791DAB" w:rsidP="00791DAB">
      <w:pPr>
        <w:spacing w:after="120" w:line="276" w:lineRule="auto"/>
        <w:ind w:firstLine="567"/>
        <w:jc w:val="both"/>
      </w:pPr>
      <w:r w:rsidRPr="00791DAB">
        <w:t>- Единичен разход на 1 обучаем при физически присъствено обучение – 43.00 лв., включващ: наем на зала; материали и пособия; възнаграждение на лектора за 16 академични часа; дневни, пътни и квартирни на лектора; дневни и пътни на обучаем.</w:t>
      </w:r>
    </w:p>
    <w:p w14:paraId="52285057" w14:textId="77777777" w:rsidR="00791DAB" w:rsidRPr="00791DAB" w:rsidRDefault="00791DAB" w:rsidP="00791DAB">
      <w:pPr>
        <w:spacing w:after="120" w:line="276" w:lineRule="auto"/>
        <w:ind w:firstLine="567"/>
        <w:jc w:val="both"/>
      </w:pPr>
      <w:r w:rsidRPr="00791DAB">
        <w:t xml:space="preserve">- Единичен разход на 1 обучаем при синхронно обучение от разстояние – 27.00 лв., включващ: възнаграждение на лектора (неприсъствено)  - 8 часа и възнаграждение на лектора (синхронно обучение) – 8 часа. </w:t>
      </w:r>
    </w:p>
    <w:p w14:paraId="6F9F0520" w14:textId="77777777" w:rsidR="00791DAB" w:rsidRPr="00791DAB" w:rsidRDefault="00791DAB" w:rsidP="00791DAB">
      <w:pPr>
        <w:numPr>
          <w:ilvl w:val="0"/>
          <w:numId w:val="1"/>
        </w:numPr>
        <w:spacing w:after="120" w:line="276" w:lineRule="auto"/>
        <w:ind w:left="851" w:hanging="284"/>
        <w:contextualSpacing/>
        <w:jc w:val="both"/>
        <w:rPr>
          <w:rFonts w:eastAsia="Calibri"/>
          <w:b/>
          <w:lang w:eastAsia="en-US"/>
        </w:rPr>
      </w:pPr>
      <w:r w:rsidRPr="00791DAB">
        <w:rPr>
          <w:rFonts w:eastAsia="Calibri"/>
          <w:b/>
          <w:lang w:eastAsia="en-US"/>
        </w:rPr>
        <w:t>Обучение на 1 педагогически специалист, за което са присъдени 2 квалификационни кредита:</w:t>
      </w:r>
    </w:p>
    <w:p w14:paraId="42948F91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>Единичен разход на 1 обучаем при физически присъствено обучение – 83.00 лв., включващ: наем на зала; материали и пособия; възнаграждение на лектора за 32 академични часа; дневни, пътни и квартирни на лектора; дневни и пътни на обучаем;</w:t>
      </w:r>
    </w:p>
    <w:p w14:paraId="585479BA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 xml:space="preserve">Единичен разход на 1 обучаем при синхронно обучение от разстояние – 54.00 лв., включващ: възнаграждение на лектора (неприсъствено)  -16 часа и възнаграждение на лектора (синхронно обучение) – 16 часа.  </w:t>
      </w:r>
    </w:p>
    <w:p w14:paraId="3BCEBC6C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>Единичен разход за обучение с логистика - 301.00 лв., включващ: материали и пособия; възнаграждение на лектора за 32 академични часа; дневни, пътни и квартирни на лектора; дневни, пътни и квартирни на обучаем.</w:t>
      </w:r>
    </w:p>
    <w:p w14:paraId="051F4BA3" w14:textId="77777777" w:rsidR="00791DAB" w:rsidRPr="00791DAB" w:rsidRDefault="00791DAB" w:rsidP="00791DAB">
      <w:pPr>
        <w:numPr>
          <w:ilvl w:val="0"/>
          <w:numId w:val="1"/>
        </w:numPr>
        <w:spacing w:after="120" w:line="276" w:lineRule="auto"/>
        <w:ind w:left="851" w:hanging="284"/>
        <w:jc w:val="both"/>
        <w:rPr>
          <w:b/>
        </w:rPr>
      </w:pPr>
      <w:r w:rsidRPr="00791DAB">
        <w:rPr>
          <w:b/>
        </w:rPr>
        <w:t>Обучение на 1 педагогически специалист, за което са присъдени 3 квалификационни кредита:</w:t>
      </w:r>
    </w:p>
    <w:p w14:paraId="1CA55BDF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>Единичен разход на 1 обучаем при физически присъствено обучение – 120.00 лв., включващ: наем на зала; материали и пособия; възнаграждение на лектора за 48 академични часа; дневни, пътни и квартирни на лектора; дневни и пътни на обучаем;</w:t>
      </w:r>
    </w:p>
    <w:p w14:paraId="0EC24192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 xml:space="preserve">Единичен разход на 1 обучаем при синхронно обучение от разстояние – 80.00 лв., включващ: възнаграждение на лектора (неприсъствено)  - 24 часа и възнаграждение на лектора (синхронно обучение) – 24 часа.   </w:t>
      </w:r>
    </w:p>
    <w:p w14:paraId="4D5A436C" w14:textId="77777777" w:rsidR="00791DAB" w:rsidRPr="00791DAB" w:rsidRDefault="00791DAB" w:rsidP="00791DAB">
      <w:pPr>
        <w:numPr>
          <w:ilvl w:val="0"/>
          <w:numId w:val="13"/>
        </w:numPr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91DAB">
        <w:rPr>
          <w:rFonts w:eastAsia="Calibri"/>
          <w:lang w:eastAsia="en-US"/>
        </w:rPr>
        <w:t>Единичен разход за обучение с логистика - 424.00 лв., включващ: материали и пособия; възнаграждение на лектора за 48 академични часа; дневни, пътни и квартирни на лектора; дневни, пътни и квартирни на обучаем.</w:t>
      </w:r>
    </w:p>
    <w:p w14:paraId="1AD967B8" w14:textId="77777777" w:rsidR="00791DAB" w:rsidRPr="00791DAB" w:rsidRDefault="00791DAB" w:rsidP="00791DAB">
      <w:pPr>
        <w:autoSpaceDE w:val="0"/>
        <w:autoSpaceDN w:val="0"/>
        <w:adjustRightInd w:val="0"/>
        <w:spacing w:after="120" w:line="276" w:lineRule="auto"/>
        <w:jc w:val="both"/>
        <w:rPr>
          <w:lang w:eastAsia="en-US"/>
        </w:rPr>
      </w:pPr>
      <w:r w:rsidRPr="00791DAB">
        <w:rPr>
          <w:color w:val="000000"/>
          <w:lang w:eastAsia="en-US"/>
        </w:rPr>
        <w:tab/>
        <w:t>*</w:t>
      </w:r>
      <w:r w:rsidRPr="00791DAB">
        <w:rPr>
          <w:b/>
          <w:lang w:eastAsia="en-US"/>
        </w:rPr>
        <w:t xml:space="preserve"> </w:t>
      </w:r>
      <w:r w:rsidRPr="00791DAB">
        <w:rPr>
          <w:lang w:eastAsia="en-US"/>
        </w:rPr>
        <w:t>под дневни на обучаемия следва да се разбира разходът за организирането на</w:t>
      </w:r>
      <w:r w:rsidRPr="00791DAB">
        <w:rPr>
          <w:color w:val="000000"/>
          <w:lang w:eastAsia="en-US"/>
        </w:rPr>
        <w:t xml:space="preserve"> </w:t>
      </w:r>
      <w:r w:rsidRPr="00791DAB">
        <w:rPr>
          <w:lang w:eastAsia="en-US"/>
        </w:rPr>
        <w:t xml:space="preserve">поне една кафе-пауза, осигурена с минерална вода, кафе, чай, безалкохолни напитки, дребни сладки и соленки, както и поне едно зареждане на залата с минерална вода. </w:t>
      </w:r>
    </w:p>
    <w:p w14:paraId="216CBD63" w14:textId="77777777" w:rsidR="00791DAB" w:rsidRPr="00791DAB" w:rsidRDefault="00791DAB" w:rsidP="00791DAB">
      <w:pPr>
        <w:autoSpaceDE w:val="0"/>
        <w:autoSpaceDN w:val="0"/>
        <w:adjustRightInd w:val="0"/>
        <w:spacing w:after="120" w:line="276" w:lineRule="auto"/>
        <w:jc w:val="both"/>
        <w:rPr>
          <w:lang w:eastAsia="en-US"/>
        </w:rPr>
      </w:pPr>
      <w:r w:rsidRPr="00791DAB">
        <w:rPr>
          <w:lang w:eastAsia="en-US"/>
        </w:rPr>
        <w:tab/>
      </w:r>
      <w:r w:rsidRPr="00791DAB">
        <w:rPr>
          <w:b/>
          <w:lang w:eastAsia="en-US"/>
        </w:rPr>
        <w:t>*</w:t>
      </w:r>
      <w:r w:rsidRPr="00791DAB">
        <w:rPr>
          <w:lang w:eastAsia="en-US"/>
        </w:rPr>
        <w:t xml:space="preserve"> под </w:t>
      </w:r>
      <w:r w:rsidRPr="00791DAB">
        <w:rPr>
          <w:color w:val="000000"/>
          <w:lang w:eastAsia="en-US"/>
        </w:rPr>
        <w:t>пътни на обучаемия</w:t>
      </w:r>
      <w:r w:rsidRPr="00791DAB">
        <w:rPr>
          <w:lang w:eastAsia="en-US"/>
        </w:rPr>
        <w:t xml:space="preserve"> следва да се разбира разходът, който </w:t>
      </w:r>
      <w:r w:rsidRPr="00791DAB">
        <w:rPr>
          <w:b/>
          <w:lang w:eastAsia="en-US"/>
        </w:rPr>
        <w:t>ИЗПЪЛНИТЕЛЯТ</w:t>
      </w:r>
      <w:r w:rsidRPr="00791DAB">
        <w:rPr>
          <w:lang w:eastAsia="en-US"/>
        </w:rPr>
        <w:t xml:space="preserve"> се задължава да изплати на всяко обучаемо лице, което пътува от населено място, различно от населеното място, където се провежда обучението.</w:t>
      </w:r>
    </w:p>
    <w:p w14:paraId="7FA3C3D7" w14:textId="4653C653" w:rsidR="00654370" w:rsidRPr="003C60F7" w:rsidRDefault="00654370" w:rsidP="00563136">
      <w:pPr>
        <w:spacing w:before="120" w:after="120"/>
        <w:ind w:firstLine="567"/>
        <w:jc w:val="both"/>
      </w:pPr>
    </w:p>
    <w:p w14:paraId="489D18E6" w14:textId="7340CF3C" w:rsidR="00CA3774" w:rsidRPr="003C60F7" w:rsidRDefault="00453214" w:rsidP="005259E1">
      <w:pPr>
        <w:spacing w:before="120" w:after="120"/>
        <w:ind w:firstLine="567"/>
        <w:jc w:val="both"/>
      </w:pPr>
      <w:r w:rsidRPr="003C60F7">
        <w:rPr>
          <w:b/>
        </w:rPr>
        <w:t xml:space="preserve">III. </w:t>
      </w:r>
      <w:r w:rsidR="00252112" w:rsidRPr="003C60F7">
        <w:rPr>
          <w:b/>
        </w:rPr>
        <w:t xml:space="preserve">Форма на </w:t>
      </w:r>
      <w:r w:rsidRPr="003C60F7">
        <w:rPr>
          <w:b/>
        </w:rPr>
        <w:t xml:space="preserve">провеждане на </w:t>
      </w:r>
      <w:r w:rsidR="00252112" w:rsidRPr="003C60F7">
        <w:rPr>
          <w:b/>
        </w:rPr>
        <w:t>обученията</w:t>
      </w:r>
      <w:r w:rsidR="00B362E8" w:rsidRPr="003C60F7">
        <w:rPr>
          <w:b/>
        </w:rPr>
        <w:t>:</w:t>
      </w:r>
    </w:p>
    <w:p w14:paraId="4DD10AE4" w14:textId="40C34DF3" w:rsidR="00CA3774" w:rsidRPr="003C60F7" w:rsidRDefault="00CA3774" w:rsidP="005259E1">
      <w:pPr>
        <w:spacing w:before="120" w:after="120"/>
        <w:ind w:firstLine="567"/>
        <w:jc w:val="both"/>
      </w:pPr>
      <w:r w:rsidRPr="003C60F7">
        <w:lastRenderedPageBreak/>
        <w:t xml:space="preserve">1. за 1 квалификационен кредит </w:t>
      </w:r>
      <w:r w:rsidR="001123C9" w:rsidRPr="003C60F7">
        <w:t>–</w:t>
      </w:r>
      <w:r w:rsidR="00453214" w:rsidRPr="003C60F7">
        <w:t xml:space="preserve"> </w:t>
      </w:r>
      <w:r w:rsidR="001123C9" w:rsidRPr="003C60F7">
        <w:t xml:space="preserve">16 академични часа, </w:t>
      </w:r>
      <w:r w:rsidR="003109F9" w:rsidRPr="003C60F7">
        <w:t xml:space="preserve">присъствени </w:t>
      </w:r>
      <w:r w:rsidRPr="003C60F7">
        <w:t xml:space="preserve">минимум 8 </w:t>
      </w:r>
      <w:r w:rsidR="00285DF0" w:rsidRPr="003C60F7">
        <w:t xml:space="preserve">академични </w:t>
      </w:r>
      <w:r w:rsidRPr="003C60F7">
        <w:t>ч</w:t>
      </w:r>
      <w:r w:rsidR="00285DF0" w:rsidRPr="003C60F7">
        <w:t>аса</w:t>
      </w:r>
      <w:r w:rsidR="00453214" w:rsidRPr="003C60F7">
        <w:t>.</w:t>
      </w:r>
    </w:p>
    <w:p w14:paraId="679BB6C6" w14:textId="05DF10B8" w:rsidR="00CA3774" w:rsidRPr="003C60F7" w:rsidRDefault="00D600EA" w:rsidP="005259E1">
      <w:pPr>
        <w:spacing w:before="120" w:after="120"/>
        <w:ind w:firstLine="567"/>
        <w:jc w:val="both"/>
      </w:pPr>
      <w:r w:rsidRPr="003C60F7">
        <w:t xml:space="preserve">2. </w:t>
      </w:r>
      <w:r w:rsidR="00CA3774" w:rsidRPr="003C60F7">
        <w:t>за 2 квалификационни кредита</w:t>
      </w:r>
      <w:r w:rsidR="00453214" w:rsidRPr="003C60F7">
        <w:t xml:space="preserve"> </w:t>
      </w:r>
      <w:r w:rsidR="001123C9" w:rsidRPr="003C60F7">
        <w:t>–</w:t>
      </w:r>
      <w:r w:rsidR="00CA3774" w:rsidRPr="003C60F7">
        <w:t xml:space="preserve"> </w:t>
      </w:r>
      <w:r w:rsidR="001123C9" w:rsidRPr="003C60F7">
        <w:t xml:space="preserve">32 академични часа, </w:t>
      </w:r>
      <w:r w:rsidR="00CA3774" w:rsidRPr="003C60F7">
        <w:t xml:space="preserve">присъствени минимум 16 </w:t>
      </w:r>
      <w:r w:rsidR="00285DF0" w:rsidRPr="003C60F7">
        <w:t>академични часа</w:t>
      </w:r>
      <w:r w:rsidR="00453214" w:rsidRPr="003C60F7">
        <w:t>.</w:t>
      </w:r>
    </w:p>
    <w:p w14:paraId="66CE96A0" w14:textId="599112DF" w:rsidR="00195B79" w:rsidRPr="003C60F7" w:rsidRDefault="00CA3774" w:rsidP="00554229">
      <w:pPr>
        <w:spacing w:before="120" w:after="120"/>
        <w:ind w:firstLine="567"/>
        <w:jc w:val="both"/>
      </w:pPr>
      <w:r w:rsidRPr="003C60F7">
        <w:t xml:space="preserve">3. за 3 квалификационни кредита </w:t>
      </w:r>
      <w:r w:rsidR="001123C9" w:rsidRPr="003C60F7">
        <w:t>– 48 академични часа,</w:t>
      </w:r>
      <w:r w:rsidR="00453214" w:rsidRPr="003C60F7">
        <w:t xml:space="preserve"> </w:t>
      </w:r>
      <w:r w:rsidRPr="003C60F7">
        <w:t xml:space="preserve">присъствени минимум </w:t>
      </w:r>
      <w:r w:rsidR="00CC5260" w:rsidRPr="003C60F7">
        <w:t xml:space="preserve">24 </w:t>
      </w:r>
      <w:r w:rsidR="00285DF0" w:rsidRPr="003C60F7">
        <w:t>академични часа</w:t>
      </w:r>
      <w:r w:rsidR="00453214" w:rsidRPr="003C60F7">
        <w:t>.</w:t>
      </w:r>
    </w:p>
    <w:p w14:paraId="1E75708A" w14:textId="138BE8A8" w:rsidR="00AD7605" w:rsidRDefault="00195B79" w:rsidP="005259E1">
      <w:pPr>
        <w:spacing w:before="120" w:after="120"/>
        <w:ind w:firstLine="567"/>
        <w:jc w:val="both"/>
      </w:pPr>
      <w:r w:rsidRPr="00791DAB">
        <w:t>Присъствените часове</w:t>
      </w:r>
      <w:r w:rsidR="00945ECF" w:rsidRPr="00791DAB">
        <w:t xml:space="preserve"> по т. 1</w:t>
      </w:r>
      <w:r w:rsidRPr="00791DAB">
        <w:t xml:space="preserve"> могат да се организират в рамките на два последователни дни по 4 академични часа на ден.</w:t>
      </w:r>
    </w:p>
    <w:p w14:paraId="3BB025D7" w14:textId="7EBAC366" w:rsidR="00D35413" w:rsidRPr="00791DAB" w:rsidRDefault="004C5706" w:rsidP="00791DAB">
      <w:pPr>
        <w:pStyle w:val="Default"/>
        <w:spacing w:after="120" w:line="276" w:lineRule="auto"/>
        <w:ind w:firstLine="708"/>
        <w:rPr>
          <w:color w:val="auto"/>
        </w:rPr>
      </w:pPr>
      <w:r>
        <w:rPr>
          <w:color w:val="auto"/>
        </w:rPr>
        <w:t>Присъствените часове</w:t>
      </w:r>
      <w:r w:rsidR="00791DAB" w:rsidRPr="00BB532B">
        <w:rPr>
          <w:color w:val="auto"/>
        </w:rPr>
        <w:t xml:space="preserve"> могат да се организират</w:t>
      </w:r>
      <w:r w:rsidR="00791DAB" w:rsidRPr="00BB532B">
        <w:rPr>
          <w:color w:val="auto"/>
          <w:lang w:eastAsia="bg-BG"/>
        </w:rPr>
        <w:t xml:space="preserve"> </w:t>
      </w:r>
      <w:r w:rsidR="00791DAB" w:rsidRPr="00BB532B">
        <w:rPr>
          <w:color w:val="auto"/>
        </w:rPr>
        <w:t>включително и при синхронно обучение о</w:t>
      </w:r>
      <w:r>
        <w:rPr>
          <w:color w:val="auto"/>
        </w:rPr>
        <w:t>т разстояние в електронна среда</w:t>
      </w:r>
      <w:r w:rsidR="00791DAB" w:rsidRPr="00BB532B">
        <w:rPr>
          <w:color w:val="auto"/>
        </w:rPr>
        <w:t>.</w:t>
      </w:r>
    </w:p>
    <w:p w14:paraId="5DCB7CCF" w14:textId="77777777" w:rsidR="00BA2898" w:rsidRPr="003C60F7" w:rsidRDefault="00BA2898" w:rsidP="005259E1">
      <w:pPr>
        <w:spacing w:before="120" w:after="120"/>
        <w:ind w:firstLine="567"/>
        <w:jc w:val="both"/>
        <w:rPr>
          <w:u w:val="single"/>
        </w:rPr>
      </w:pPr>
    </w:p>
    <w:p w14:paraId="1A6B0DA4" w14:textId="1219C81C" w:rsidR="00255326" w:rsidRPr="003C60F7" w:rsidRDefault="001E46F3" w:rsidP="005259E1">
      <w:pPr>
        <w:spacing w:before="120" w:after="120"/>
        <w:ind w:firstLine="567"/>
        <w:jc w:val="both"/>
        <w:rPr>
          <w:b/>
        </w:rPr>
      </w:pPr>
      <w:r w:rsidRPr="003C60F7">
        <w:rPr>
          <w:b/>
        </w:rPr>
        <w:t xml:space="preserve">IV. </w:t>
      </w:r>
      <w:r w:rsidR="00924251" w:rsidRPr="003C60F7">
        <w:rPr>
          <w:b/>
        </w:rPr>
        <w:t>Изисквания по отношение на</w:t>
      </w:r>
      <w:r w:rsidR="00324CA9" w:rsidRPr="003C60F7">
        <w:rPr>
          <w:b/>
        </w:rPr>
        <w:t xml:space="preserve"> изпълнението</w:t>
      </w:r>
      <w:r w:rsidR="00B362E8" w:rsidRPr="003C60F7">
        <w:rPr>
          <w:b/>
        </w:rPr>
        <w:t>:</w:t>
      </w:r>
    </w:p>
    <w:p w14:paraId="17F70633" w14:textId="77777777" w:rsidR="00ED3605" w:rsidRPr="003C60F7" w:rsidRDefault="00ED3605" w:rsidP="005259E1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Доставчици на услуги по обучения</w:t>
      </w:r>
      <w:r w:rsidR="00654370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AB5A026" w14:textId="0478269B" w:rsidR="003B2126" w:rsidRPr="003C60F7" w:rsidRDefault="00D20451" w:rsidP="005259E1">
      <w:pPr>
        <w:spacing w:before="120" w:after="120"/>
        <w:ind w:firstLine="567"/>
        <w:jc w:val="both"/>
      </w:pPr>
      <w:r w:rsidRPr="003C60F7">
        <w:t xml:space="preserve">Съгласно </w:t>
      </w:r>
      <w:r w:rsidR="00FB0F3A" w:rsidRPr="003C60F7">
        <w:t xml:space="preserve">приложимата </w:t>
      </w:r>
      <w:r w:rsidRPr="003C60F7">
        <w:t>нормативна уредба</w:t>
      </w:r>
      <w:r w:rsidR="00557F6C" w:rsidRPr="003C60F7">
        <w:t xml:space="preserve"> </w:t>
      </w:r>
      <w:r w:rsidR="003B2126" w:rsidRPr="003C60F7">
        <w:t>квалификация</w:t>
      </w:r>
      <w:r w:rsidRPr="003C60F7">
        <w:t>та</w:t>
      </w:r>
      <w:r w:rsidR="003B2126" w:rsidRPr="003C60F7">
        <w:t xml:space="preserve"> </w:t>
      </w:r>
      <w:r w:rsidR="00D600EA" w:rsidRPr="003C60F7">
        <w:t xml:space="preserve">на педагогическите специалисти </w:t>
      </w:r>
      <w:r w:rsidR="003B2126" w:rsidRPr="003C60F7">
        <w:t>се осъ</w:t>
      </w:r>
      <w:r w:rsidR="00324CA9" w:rsidRPr="003C60F7">
        <w:t>ществява по програми за обучения</w:t>
      </w:r>
      <w:r w:rsidR="003B2126" w:rsidRPr="003C60F7">
        <w:t xml:space="preserve"> от специализирани обслужващи звена</w:t>
      </w:r>
      <w:r w:rsidR="001E46F3" w:rsidRPr="003C60F7">
        <w:t xml:space="preserve">, </w:t>
      </w:r>
      <w:r w:rsidR="00FF119E" w:rsidRPr="003C60F7">
        <w:t xml:space="preserve">научни организации и висши училища, </w:t>
      </w:r>
      <w:r w:rsidR="00130313" w:rsidRPr="003C60F7">
        <w:t xml:space="preserve">както </w:t>
      </w:r>
      <w:r w:rsidR="00FF119E" w:rsidRPr="003C60F7">
        <w:t xml:space="preserve">и </w:t>
      </w:r>
      <w:r w:rsidR="001E46F3" w:rsidRPr="003C60F7">
        <w:t xml:space="preserve">от обучителни организации, включени в </w:t>
      </w:r>
      <w:r w:rsidR="003B2126" w:rsidRPr="003C60F7">
        <w:t xml:space="preserve">Информационния регистър на одобрените програми за повишаване на квалификацията </w:t>
      </w:r>
      <w:r w:rsidR="00D600EA" w:rsidRPr="003C60F7">
        <w:t>на педагогическите специалисти.</w:t>
      </w:r>
    </w:p>
    <w:p w14:paraId="24CDD8E7" w14:textId="77777777" w:rsidR="000071A9" w:rsidRPr="003C60F7" w:rsidRDefault="000071A9" w:rsidP="005259E1">
      <w:pPr>
        <w:spacing w:before="120" w:after="120"/>
        <w:ind w:firstLine="567"/>
        <w:jc w:val="both"/>
      </w:pPr>
    </w:p>
    <w:p w14:paraId="0806DC94" w14:textId="77777777" w:rsidR="00D44CFD" w:rsidRPr="003C60F7" w:rsidRDefault="00ED3605" w:rsidP="006543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Начин на провеждане на обученията</w:t>
      </w:r>
      <w:r w:rsidR="00D44CFD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1FB366A" w14:textId="0FAB45B2" w:rsidR="002A1B9D" w:rsidRPr="003C60F7" w:rsidRDefault="00705283" w:rsidP="002A1B9D">
      <w:pPr>
        <w:spacing w:before="120" w:after="120"/>
        <w:ind w:firstLine="567"/>
        <w:jc w:val="both"/>
      </w:pPr>
      <w:r w:rsidRPr="003C60F7">
        <w:t>2.1.</w:t>
      </w:r>
      <w:r w:rsidR="003109F9" w:rsidRPr="003C60F7">
        <w:t xml:space="preserve"> </w:t>
      </w:r>
      <w:r w:rsidR="00ED3605" w:rsidRPr="003C60F7">
        <w:t xml:space="preserve">Обученията се провеждат в групи </w:t>
      </w:r>
      <w:r w:rsidR="003B2126" w:rsidRPr="003C60F7">
        <w:t xml:space="preserve">с максимален брой </w:t>
      </w:r>
      <w:r w:rsidR="00644EA2" w:rsidRPr="003C60F7">
        <w:t xml:space="preserve">до </w:t>
      </w:r>
      <w:r w:rsidR="003B2126" w:rsidRPr="003C60F7">
        <w:t>2</w:t>
      </w:r>
      <w:r w:rsidR="00252112" w:rsidRPr="003C60F7">
        <w:t>5 човека</w:t>
      </w:r>
      <w:r w:rsidR="00ED3605" w:rsidRPr="003C60F7">
        <w:t>,</w:t>
      </w:r>
      <w:r w:rsidR="00252112" w:rsidRPr="003C60F7">
        <w:t xml:space="preserve"> с цел постигане на максимална ефективност. </w:t>
      </w:r>
      <w:r w:rsidR="00671544" w:rsidRPr="003C60F7">
        <w:t xml:space="preserve">Числеността на групите трябва да бъде съобразена с методиката за провеждане на обучението и разделянето по групи </w:t>
      </w:r>
      <w:r w:rsidR="00761121" w:rsidRPr="003C60F7">
        <w:t xml:space="preserve">за практическо отработване на казуси. </w:t>
      </w:r>
      <w:r w:rsidR="003B2126" w:rsidRPr="003C60F7">
        <w:t>Броят на групите, разпределението на обучаемите, формата на обучение, метода на провеждане на обучението и графикът</w:t>
      </w:r>
      <w:r w:rsidR="00DB3FB4" w:rsidRPr="003C60F7">
        <w:t>, както и в последствие наложили се промени по тях</w:t>
      </w:r>
      <w:r w:rsidR="00B93CF1" w:rsidRPr="003C60F7">
        <w:t>,</w:t>
      </w:r>
      <w:r w:rsidR="003B2126" w:rsidRPr="003C60F7">
        <w:t xml:space="preserve"> се утвърждава от</w:t>
      </w:r>
      <w:r w:rsidR="00554229" w:rsidRPr="003C60F7">
        <w:t xml:space="preserve"> ВЪЗЛОЖИТЕЛЯ</w:t>
      </w:r>
      <w:r w:rsidR="003B2126" w:rsidRPr="003C60F7">
        <w:t>.</w:t>
      </w:r>
      <w:r w:rsidR="00CA3774" w:rsidRPr="003C60F7">
        <w:rPr>
          <w:color w:val="FF0000"/>
        </w:rPr>
        <w:t xml:space="preserve"> </w:t>
      </w:r>
      <w:r w:rsidR="00CA3774" w:rsidRPr="003C60F7">
        <w:t>Работата в групи предполага представяне на добри педагогически практики, които да станат достъпни за всички участници.</w:t>
      </w:r>
      <w:r w:rsidR="00420542" w:rsidRPr="003C60F7">
        <w:t xml:space="preserve"> </w:t>
      </w:r>
      <w:r w:rsidR="002A1B9D" w:rsidRPr="003C60F7">
        <w:t>Обучението се провежда по темите, в съответствие с метода на провеждане на курса и във формата на обучение, посочени в предложението за изпълнение на ИЗПЪЛНИТЕЛЯ.</w:t>
      </w:r>
    </w:p>
    <w:p w14:paraId="2D634FDC" w14:textId="70380311" w:rsidR="002A1B9D" w:rsidRPr="003C60F7" w:rsidRDefault="00705283" w:rsidP="002A1B9D">
      <w:pPr>
        <w:spacing w:before="120" w:after="120"/>
        <w:ind w:firstLine="567"/>
        <w:jc w:val="both"/>
      </w:pPr>
      <w:r w:rsidRPr="003C60F7">
        <w:t>2.2.</w:t>
      </w:r>
      <w:r w:rsidR="002A1B9D" w:rsidRPr="003C60F7">
        <w:t xml:space="preserve"> Налагащи се промени в броя на групите, числеността на обучаемите в група и разпределението им се извършват в координация с ВЪЗЛОЖИТЕЛЯ. </w:t>
      </w:r>
    </w:p>
    <w:p w14:paraId="0A48D842" w14:textId="2FDAA40E" w:rsidR="009D3F7A" w:rsidRPr="003C60F7" w:rsidRDefault="00705283" w:rsidP="002A1B9D">
      <w:pPr>
        <w:spacing w:before="120" w:after="120"/>
        <w:ind w:firstLine="567"/>
        <w:jc w:val="both"/>
      </w:pPr>
      <w:r w:rsidRPr="003C60F7">
        <w:t>2.3.</w:t>
      </w:r>
      <w:r w:rsidR="002A1B9D" w:rsidRPr="003C60F7">
        <w:t xml:space="preserve"> Когато за обучението е необходимо обучаемите да бъдат снабдени с обучителни материали, ИЗПЪЛНИТЕЛЯТ трябва да осигури комплект от тях на хартиен </w:t>
      </w:r>
      <w:r w:rsidR="00CC4031" w:rsidRPr="003C60F7">
        <w:t xml:space="preserve">носител </w:t>
      </w:r>
      <w:r w:rsidR="002A1B9D" w:rsidRPr="003C60F7">
        <w:t>или достъп до тях в електронен вариант.</w:t>
      </w:r>
    </w:p>
    <w:p w14:paraId="279D2230" w14:textId="72EA9867" w:rsidR="00D44CFD" w:rsidRPr="003C60F7" w:rsidRDefault="00705283" w:rsidP="00D44CFD">
      <w:pPr>
        <w:spacing w:before="120" w:after="120"/>
        <w:ind w:firstLine="567"/>
        <w:jc w:val="both"/>
      </w:pPr>
      <w:r w:rsidRPr="003C60F7">
        <w:t>2.4.</w:t>
      </w:r>
      <w:r w:rsidR="00B30174" w:rsidRPr="003C60F7">
        <w:t xml:space="preserve"> </w:t>
      </w:r>
      <w:r w:rsidR="00D44CFD" w:rsidRPr="003C60F7">
        <w:t>В случаите, в които обучението включва и логистика, ИЗПЪЛНИТЕЛЯТ извършва дейностите по осигуряване и настаняването в хотели</w:t>
      </w:r>
      <w:r w:rsidR="00563136" w:rsidRPr="003C60F7">
        <w:t xml:space="preserve"> на пълен пансион</w:t>
      </w:r>
      <w:r w:rsidR="00D44CFD" w:rsidRPr="003C60F7">
        <w:t xml:space="preserve">, осигуряването на зали с необходимото за провеждане на обучението оборудване, регистрацията на участниците; осигуряването на кафе-паузи, закуска, обяд и вечеря на обучаемите, както и организирането на транспорта/да осребри транспортните разходи до мястото на обучението. </w:t>
      </w:r>
    </w:p>
    <w:p w14:paraId="5235467B" w14:textId="169DA850" w:rsidR="00D44CFD" w:rsidRPr="003C60F7" w:rsidRDefault="00705283" w:rsidP="00D44CFD">
      <w:pPr>
        <w:spacing w:before="120" w:after="120"/>
        <w:ind w:firstLine="567"/>
        <w:jc w:val="both"/>
      </w:pPr>
      <w:r w:rsidRPr="003C60F7">
        <w:lastRenderedPageBreak/>
        <w:t xml:space="preserve">2.5. </w:t>
      </w:r>
      <w:r w:rsidR="00D44CFD" w:rsidRPr="003C60F7">
        <w:t>Дейността ще се извършва текущо, според вида и продължителността на курса, провеждан</w:t>
      </w:r>
      <w:r w:rsidR="00554229" w:rsidRPr="003C60F7">
        <w:t>е</w:t>
      </w:r>
      <w:r w:rsidR="00D44CFD" w:rsidRPr="003C60F7">
        <w:t xml:space="preserve"> по възможност в неучебни и/или в почивни дни. Обученията ще се провеждат в подходящи зали/помещения на </w:t>
      </w:r>
      <w:r w:rsidR="005D0273" w:rsidRPr="003C60F7">
        <w:t xml:space="preserve">ВЪЗЛОЖИТЕЛЯ </w:t>
      </w:r>
      <w:r w:rsidR="00D44CFD" w:rsidRPr="003C60F7">
        <w:t>или в други помещения, определени от</w:t>
      </w:r>
      <w:r w:rsidR="005D0273" w:rsidRPr="003C60F7">
        <w:t xml:space="preserve"> ВЪЗЛОЖИТЕЛЯ</w:t>
      </w:r>
      <w:r w:rsidR="00D44CFD" w:rsidRPr="003C60F7">
        <w:t>, освен в случаите, когато обучението включва логистика.</w:t>
      </w:r>
    </w:p>
    <w:p w14:paraId="60DDBB9E" w14:textId="111F3851" w:rsidR="00D44CFD" w:rsidRPr="003C60F7" w:rsidRDefault="00705283" w:rsidP="00D44CFD">
      <w:pPr>
        <w:spacing w:before="120" w:after="120"/>
        <w:ind w:firstLine="567"/>
        <w:jc w:val="both"/>
      </w:pPr>
      <w:r w:rsidRPr="003C60F7">
        <w:t xml:space="preserve">2.6. </w:t>
      </w:r>
      <w:r w:rsidR="00D44CFD" w:rsidRPr="003C60F7">
        <w:t xml:space="preserve">За провеждане на обучението ВЪЗЛОЖИТЕЛЯТ изпраща на посочената в </w:t>
      </w:r>
      <w:r w:rsidR="00936F25" w:rsidRPr="003C60F7">
        <w:rPr>
          <w:color w:val="000000" w:themeColor="text1"/>
        </w:rPr>
        <w:t xml:space="preserve">раздел </w:t>
      </w:r>
      <w:r w:rsidR="00E70057" w:rsidRPr="003C60F7">
        <w:rPr>
          <w:color w:val="000000" w:themeColor="text1"/>
        </w:rPr>
        <w:t>VI</w:t>
      </w:r>
      <w:r w:rsidR="00936F25" w:rsidRPr="003C60F7">
        <w:rPr>
          <w:color w:val="000000" w:themeColor="text1"/>
        </w:rPr>
        <w:t xml:space="preserve"> </w:t>
      </w:r>
      <w:r w:rsidR="00936F25" w:rsidRPr="003C60F7">
        <w:rPr>
          <w:i/>
          <w:color w:val="000000" w:themeColor="text1"/>
        </w:rPr>
        <w:t>Изисквания по отношение на комуникацията</w:t>
      </w:r>
      <w:r w:rsidR="00936F25" w:rsidRPr="003C60F7">
        <w:rPr>
          <w:color w:val="000000" w:themeColor="text1"/>
        </w:rPr>
        <w:t>,</w:t>
      </w:r>
      <w:r w:rsidR="00936F25" w:rsidRPr="003C60F7">
        <w:t xml:space="preserve"> </w:t>
      </w:r>
      <w:r w:rsidR="00D44CFD" w:rsidRPr="003C60F7">
        <w:t>електронна поща на ИЗПЪЛНИТЕЛЯ заявка, в която посочва:</w:t>
      </w:r>
    </w:p>
    <w:p w14:paraId="35737B8F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Темата на обучението;</w:t>
      </w:r>
    </w:p>
    <w:p w14:paraId="2A57EAA7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Поименен списък на обучаемите лица;</w:t>
      </w:r>
    </w:p>
    <w:p w14:paraId="09D1CA02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Срока, в рамките на който обучението трябва да започне (начална дата);</w:t>
      </w:r>
    </w:p>
    <w:p w14:paraId="503F7130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Лице и информация за координация и контакт;</w:t>
      </w:r>
    </w:p>
    <w:p w14:paraId="2CE61CB3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Предложение за място за провеждане на обучението;</w:t>
      </w:r>
    </w:p>
    <w:p w14:paraId="12E7C5D6" w14:textId="77777777" w:rsidR="00D44CFD" w:rsidRPr="003C60F7" w:rsidRDefault="00D44CFD" w:rsidP="00D44CFD">
      <w:pPr>
        <w:spacing w:before="120" w:after="120"/>
        <w:ind w:firstLine="567"/>
        <w:jc w:val="both"/>
      </w:pPr>
      <w:r w:rsidRPr="003C60F7">
        <w:t>•</w:t>
      </w:r>
      <w:r w:rsidRPr="003C60F7">
        <w:tab/>
        <w:t>Друга информация, необходима за провеждане на обучението.</w:t>
      </w:r>
    </w:p>
    <w:p w14:paraId="609D6F2B" w14:textId="5BE10A2A" w:rsidR="00D44CFD" w:rsidRPr="003C60F7" w:rsidRDefault="00705283" w:rsidP="009E7F03">
      <w:pPr>
        <w:spacing w:before="120" w:after="120"/>
        <w:ind w:firstLine="567"/>
        <w:jc w:val="both"/>
      </w:pPr>
      <w:r w:rsidRPr="003C60F7">
        <w:t>2.7.</w:t>
      </w:r>
      <w:r w:rsidR="00B30174" w:rsidRPr="003C60F7">
        <w:t xml:space="preserve"> </w:t>
      </w:r>
      <w:r w:rsidR="00D44CFD" w:rsidRPr="003C60F7">
        <w:t xml:space="preserve">В отговор на заявката ИЗПЪЛНИТЕЛЯТ представя на ВЪЗЛОЖИТЕЛЯ предложение за изпълнение на конкретната заявка за обучение, съдържащо документите, посочени в чл. </w:t>
      </w:r>
      <w:r w:rsidR="006647E9" w:rsidRPr="003C60F7">
        <w:t>15</w:t>
      </w:r>
      <w:r w:rsidR="00D44CFD" w:rsidRPr="003C60F7">
        <w:t xml:space="preserve">, ал. 1 </w:t>
      </w:r>
      <w:r w:rsidR="00945ECF" w:rsidRPr="003C60F7">
        <w:t>от д</w:t>
      </w:r>
      <w:r w:rsidR="00D44CFD" w:rsidRPr="003C60F7">
        <w:t>оговор</w:t>
      </w:r>
      <w:r w:rsidR="00945ECF" w:rsidRPr="003C60F7">
        <w:t xml:space="preserve">а </w:t>
      </w:r>
      <w:r w:rsidR="00D44CFD" w:rsidRPr="003C60F7">
        <w:t>.</w:t>
      </w:r>
    </w:p>
    <w:p w14:paraId="12BEA8F4" w14:textId="2F9A8025" w:rsidR="00AB467B" w:rsidRPr="003C60F7" w:rsidRDefault="00AB467B" w:rsidP="005259E1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Задължения на доставчиците на услуги по обучения</w:t>
      </w:r>
      <w:r w:rsidR="00B362E8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AFB33B2" w14:textId="02227616" w:rsidR="00C94324" w:rsidRPr="003C60F7" w:rsidRDefault="00563136" w:rsidP="00130313">
      <w:pPr>
        <w:spacing w:before="120" w:after="120"/>
        <w:ind w:firstLine="567"/>
        <w:jc w:val="both"/>
      </w:pPr>
      <w:r w:rsidRPr="003C60F7">
        <w:t>3.1.</w:t>
      </w:r>
      <w:r w:rsidR="001B5732" w:rsidRPr="003C60F7">
        <w:t>Осигуряване на</w:t>
      </w:r>
      <w:r w:rsidR="00252112" w:rsidRPr="003C60F7">
        <w:t xml:space="preserve"> </w:t>
      </w:r>
      <w:r w:rsidR="004D21D9" w:rsidRPr="003C60F7">
        <w:t>лектори/</w:t>
      </w:r>
      <w:r w:rsidR="00252112" w:rsidRPr="003C60F7">
        <w:t>преподават</w:t>
      </w:r>
      <w:r w:rsidR="00761121" w:rsidRPr="003C60F7">
        <w:t>ели</w:t>
      </w:r>
      <w:r w:rsidR="004D21D9" w:rsidRPr="003C60F7">
        <w:t>,</w:t>
      </w:r>
      <w:r w:rsidR="00A255FA" w:rsidRPr="003C60F7">
        <w:t xml:space="preserve"> </w:t>
      </w:r>
      <w:r w:rsidR="00AB467B" w:rsidRPr="003C60F7">
        <w:t xml:space="preserve">посочени в </w:t>
      </w:r>
      <w:r w:rsidR="004F667F" w:rsidRPr="003C60F7">
        <w:t>предложението за изпълнение</w:t>
      </w:r>
      <w:r w:rsidR="00DB1B36" w:rsidRPr="003C60F7">
        <w:t xml:space="preserve"> на кандидата. Само посочените</w:t>
      </w:r>
      <w:r w:rsidR="00AB467B" w:rsidRPr="003C60F7">
        <w:t xml:space="preserve"> </w:t>
      </w:r>
      <w:r w:rsidR="004D21D9" w:rsidRPr="003C60F7">
        <w:t xml:space="preserve">лектори/преподаватели </w:t>
      </w:r>
      <w:r w:rsidR="00AB467B" w:rsidRPr="003C60F7">
        <w:t xml:space="preserve">ще </w:t>
      </w:r>
      <w:r w:rsidR="00DB1B36" w:rsidRPr="003C60F7">
        <w:t xml:space="preserve">могат да </w:t>
      </w:r>
      <w:r w:rsidR="00AB467B" w:rsidRPr="003C60F7">
        <w:t>провеждат обученията за придобиване на от 1 до 3 квалификационни кредита за обявената кампания</w:t>
      </w:r>
      <w:r w:rsidR="00A73E29" w:rsidRPr="003C60F7">
        <w:t>.</w:t>
      </w:r>
    </w:p>
    <w:p w14:paraId="1F07FE38" w14:textId="5CB64123" w:rsidR="00D67755" w:rsidRPr="003C60F7" w:rsidRDefault="00AB467B" w:rsidP="005259E1">
      <w:pPr>
        <w:spacing w:before="120" w:after="120"/>
        <w:ind w:firstLine="567"/>
        <w:jc w:val="both"/>
      </w:pPr>
      <w:r w:rsidRPr="003C60F7">
        <w:t>3.</w:t>
      </w:r>
      <w:r w:rsidR="001B5732" w:rsidRPr="003C60F7">
        <w:t>2</w:t>
      </w:r>
      <w:r w:rsidR="00D67755" w:rsidRPr="003C60F7">
        <w:t xml:space="preserve">. </w:t>
      </w:r>
      <w:r w:rsidR="003B7936" w:rsidRPr="003C60F7">
        <w:t>Осигуряване на о</w:t>
      </w:r>
      <w:r w:rsidR="00D67755" w:rsidRPr="003C60F7">
        <w:t xml:space="preserve">бучителни материали </w:t>
      </w:r>
      <w:r w:rsidR="00E70057" w:rsidRPr="003C60F7">
        <w:t>и/или достъп до тях в електронен вариант за всички участници</w:t>
      </w:r>
      <w:r w:rsidR="003B7936" w:rsidRPr="003C60F7">
        <w:t>, включени</w:t>
      </w:r>
      <w:r w:rsidR="00A73E29" w:rsidRPr="003C60F7">
        <w:t xml:space="preserve"> в обученията.</w:t>
      </w:r>
    </w:p>
    <w:p w14:paraId="10B0604C" w14:textId="1C4F3DDE" w:rsidR="00252112" w:rsidRPr="003C60F7" w:rsidRDefault="003B7936" w:rsidP="005259E1">
      <w:pPr>
        <w:spacing w:before="120" w:after="120"/>
        <w:ind w:firstLine="567"/>
        <w:jc w:val="both"/>
      </w:pPr>
      <w:r w:rsidRPr="003C60F7">
        <w:t>3.</w:t>
      </w:r>
      <w:r w:rsidR="00A73E29" w:rsidRPr="003C60F7">
        <w:t>3</w:t>
      </w:r>
      <w:r w:rsidR="00D67755" w:rsidRPr="003C60F7">
        <w:t xml:space="preserve">. </w:t>
      </w:r>
      <w:r w:rsidR="00703060" w:rsidRPr="003C60F7">
        <w:t xml:space="preserve">Осигуряване на </w:t>
      </w:r>
      <w:r w:rsidR="00754563" w:rsidRPr="003C60F7">
        <w:t>логистика</w:t>
      </w:r>
      <w:r w:rsidR="000E761D" w:rsidRPr="003C60F7">
        <w:t xml:space="preserve"> на обучаем</w:t>
      </w:r>
      <w:r w:rsidR="00754563" w:rsidRPr="003C60F7">
        <w:t>ите лица</w:t>
      </w:r>
      <w:r w:rsidR="000E761D" w:rsidRPr="003C60F7">
        <w:t xml:space="preserve"> (</w:t>
      </w:r>
      <w:r w:rsidR="00754563" w:rsidRPr="003C60F7">
        <w:t>при изнесени обучения</w:t>
      </w:r>
      <w:r w:rsidR="000E761D" w:rsidRPr="003C60F7">
        <w:t>)</w:t>
      </w:r>
      <w:r w:rsidR="000071A9" w:rsidRPr="003C60F7">
        <w:t>.</w:t>
      </w:r>
      <w:r w:rsidR="00A73E29" w:rsidRPr="003C60F7">
        <w:t xml:space="preserve"> В тези случа</w:t>
      </w:r>
      <w:r w:rsidR="00C076E3" w:rsidRPr="003C60F7">
        <w:t>я</w:t>
      </w:r>
      <w:r w:rsidR="00A73E29" w:rsidRPr="003C60F7">
        <w:t xml:space="preserve"> е необходимо да се осигури представител на </w:t>
      </w:r>
      <w:r w:rsidR="00DB3FB4" w:rsidRPr="003C60F7">
        <w:t>ИЗПЪЛНИТЕЛЯ.</w:t>
      </w:r>
    </w:p>
    <w:p w14:paraId="596AEEB1" w14:textId="31D79F7D" w:rsidR="00141F33" w:rsidRPr="003C60F7" w:rsidRDefault="00141F33" w:rsidP="005259E1">
      <w:pPr>
        <w:spacing w:before="120" w:after="120"/>
        <w:ind w:firstLine="567"/>
        <w:jc w:val="both"/>
        <w:rPr>
          <w:bCs/>
        </w:rPr>
      </w:pPr>
      <w:r w:rsidRPr="003C60F7">
        <w:rPr>
          <w:bCs/>
        </w:rPr>
        <w:t>3.</w:t>
      </w:r>
      <w:r w:rsidR="00A73E29" w:rsidRPr="003C60F7">
        <w:rPr>
          <w:bCs/>
        </w:rPr>
        <w:t>4</w:t>
      </w:r>
      <w:r w:rsidRPr="003C60F7">
        <w:rPr>
          <w:bCs/>
        </w:rPr>
        <w:t xml:space="preserve">. Осигуряване на </w:t>
      </w:r>
      <w:r w:rsidR="00A73E29" w:rsidRPr="003C60F7">
        <w:rPr>
          <w:bCs/>
        </w:rPr>
        <w:t xml:space="preserve">доказателства за техническото изпълнение на дейността, съгласно изискванията на </w:t>
      </w:r>
      <w:r w:rsidR="000D0540">
        <w:rPr>
          <w:bCs/>
        </w:rPr>
        <w:t>ВЪЗЛОЖИТЕЛЯ, както при провеждане на обучения с физическо присъствие, така и при провеждане на синхронни обучения от разстояние.</w:t>
      </w:r>
    </w:p>
    <w:p w14:paraId="41768834" w14:textId="522334E0" w:rsidR="0094615C" w:rsidRPr="003C60F7" w:rsidRDefault="0094615C" w:rsidP="00593DA9">
      <w:pPr>
        <w:spacing w:before="120" w:after="120"/>
        <w:jc w:val="both"/>
      </w:pPr>
      <w:bookmarkStart w:id="1" w:name="_GoBack"/>
      <w:bookmarkEnd w:id="1"/>
    </w:p>
    <w:p w14:paraId="72BB6C57" w14:textId="74F24163" w:rsidR="0081669E" w:rsidRPr="003C60F7" w:rsidRDefault="00517346" w:rsidP="00517346">
      <w:pPr>
        <w:spacing w:before="120" w:after="120"/>
        <w:ind w:firstLine="567"/>
        <w:jc w:val="both"/>
      </w:pPr>
      <w:r w:rsidRPr="003C60F7">
        <w:rPr>
          <w:b/>
        </w:rPr>
        <w:t>V</w:t>
      </w:r>
      <w:r w:rsidR="00953DFB" w:rsidRPr="003C60F7">
        <w:t xml:space="preserve">. </w:t>
      </w:r>
      <w:r w:rsidRPr="003C60F7">
        <w:rPr>
          <w:b/>
        </w:rPr>
        <w:t>Изисквания по отношение на отчетността</w:t>
      </w:r>
      <w:r w:rsidR="00705283" w:rsidRPr="003C60F7">
        <w:rPr>
          <w:b/>
        </w:rPr>
        <w:t xml:space="preserve"> и контрола</w:t>
      </w:r>
      <w:r w:rsidRPr="003C60F7">
        <w:t>:</w:t>
      </w:r>
    </w:p>
    <w:p w14:paraId="43A608A8" w14:textId="70D2CF67" w:rsidR="00593DA9" w:rsidRPr="003C60F7" w:rsidRDefault="00705283" w:rsidP="00593DA9">
      <w:pPr>
        <w:spacing w:before="120" w:after="120"/>
        <w:ind w:firstLine="567"/>
        <w:jc w:val="both"/>
      </w:pPr>
      <w:r w:rsidRPr="003C60F7">
        <w:t xml:space="preserve">1. </w:t>
      </w:r>
      <w:r w:rsidR="00593DA9" w:rsidRPr="003C60F7">
        <w:t xml:space="preserve">Във фактурата следва да е записан номера на договора за предоставяне на БФП - BG05M20P001-2.010-0001-С01. В случай, че счетоводния софтуер не позволява това, то текстът се изписва в свободно поле, извън задължителните реквизити по чл. 7 от Закона за счетоводство, или на обратната страна на документа. </w:t>
      </w:r>
    </w:p>
    <w:p w14:paraId="4BC6CADA" w14:textId="0EADF3D7" w:rsidR="00953DFB" w:rsidRPr="003C60F7" w:rsidRDefault="00593DA9" w:rsidP="00953DFB">
      <w:pPr>
        <w:spacing w:before="120" w:after="120"/>
        <w:ind w:firstLine="567"/>
        <w:jc w:val="both"/>
      </w:pPr>
      <w:r w:rsidRPr="003C60F7">
        <w:t>В графа „Наименование на доставка/услугата“ във фактурата се описват всички данни, относими към вида на обучението, като например: проведено обучение за 1 квалификационен кредит; обучение за 2 квалификационни кредита – с нощувка/без нощувка; обучение за 3 квалификационни кредита – с нощувка/без нощувка. Задължително се посочва броя на обучаемите лица и единичната стойност за съответния вид обучение.</w:t>
      </w:r>
    </w:p>
    <w:p w14:paraId="1A766525" w14:textId="73710507" w:rsidR="00B362E8" w:rsidRPr="003C60F7" w:rsidRDefault="00705283" w:rsidP="005259E1">
      <w:pPr>
        <w:spacing w:before="120" w:after="120"/>
        <w:ind w:firstLine="567"/>
        <w:jc w:val="both"/>
      </w:pPr>
      <w:r w:rsidRPr="003C60F7">
        <w:lastRenderedPageBreak/>
        <w:t xml:space="preserve">2. </w:t>
      </w:r>
      <w:r w:rsidR="00A341A4" w:rsidRPr="003C60F7">
        <w:t>Доставчиците на услуги по обучения се задължават да допускат представители на</w:t>
      </w:r>
      <w:r w:rsidR="00517346" w:rsidRPr="003C60F7">
        <w:t xml:space="preserve"> </w:t>
      </w:r>
      <w:r w:rsidR="005D0273" w:rsidRPr="003C60F7">
        <w:t xml:space="preserve">ВЪЗЛОЖИТЕЛЯ </w:t>
      </w:r>
      <w:r w:rsidR="00DB1B36" w:rsidRPr="003C60F7">
        <w:t>на екипа за организация и управление на проекта, на РУО и на</w:t>
      </w:r>
      <w:r w:rsidR="00A341A4" w:rsidRPr="003C60F7">
        <w:t xml:space="preserve"> избрания </w:t>
      </w:r>
      <w:r w:rsidR="00923276" w:rsidRPr="003C60F7">
        <w:t xml:space="preserve">от МОН </w:t>
      </w:r>
      <w:r w:rsidR="008E4FEE" w:rsidRPr="003C60F7">
        <w:t xml:space="preserve">ИЗПЪЛНИТЕЛ </w:t>
      </w:r>
      <w:r w:rsidR="00A341A4" w:rsidRPr="003C60F7">
        <w:t xml:space="preserve">по дейност 4 „Оценка на качеството на извършените квалификационни дейности по операцията“ по проекта, с цел </w:t>
      </w:r>
      <w:r w:rsidR="00D573C7" w:rsidRPr="003C60F7">
        <w:t xml:space="preserve">извършване на </w:t>
      </w:r>
      <w:r w:rsidR="00A341A4" w:rsidRPr="003C60F7">
        <w:t xml:space="preserve">текущ мониторинг </w:t>
      </w:r>
      <w:r w:rsidR="006229E2" w:rsidRPr="003C60F7">
        <w:t xml:space="preserve">и контрол </w:t>
      </w:r>
      <w:r w:rsidR="00A341A4" w:rsidRPr="003C60F7">
        <w:t xml:space="preserve">на </w:t>
      </w:r>
      <w:r w:rsidR="00D573C7" w:rsidRPr="003C60F7">
        <w:t>изпълнение</w:t>
      </w:r>
      <w:r w:rsidR="00A341A4" w:rsidRPr="003C60F7">
        <w:t>то на обученията</w:t>
      </w:r>
      <w:r w:rsidR="00B21105" w:rsidRPr="003C60F7">
        <w:t>,</w:t>
      </w:r>
      <w:r w:rsidR="00D573C7" w:rsidRPr="003C60F7">
        <w:t xml:space="preserve"> след легитимирането им. </w:t>
      </w:r>
    </w:p>
    <w:p w14:paraId="4076B255" w14:textId="77777777" w:rsidR="00953DFB" w:rsidRPr="003C60F7" w:rsidRDefault="00953DFB" w:rsidP="005259E1">
      <w:pPr>
        <w:spacing w:before="120" w:after="120"/>
        <w:ind w:firstLine="567"/>
        <w:jc w:val="both"/>
        <w:rPr>
          <w:b/>
        </w:rPr>
      </w:pPr>
    </w:p>
    <w:p w14:paraId="55B09F36" w14:textId="0CC36E9A" w:rsidR="00D6382A" w:rsidRPr="003C60F7" w:rsidRDefault="00D6382A" w:rsidP="005259E1">
      <w:pPr>
        <w:spacing w:before="120" w:after="120"/>
        <w:ind w:firstLine="567"/>
        <w:jc w:val="both"/>
        <w:rPr>
          <w:b/>
        </w:rPr>
      </w:pPr>
      <w:r w:rsidRPr="003C60F7">
        <w:rPr>
          <w:b/>
        </w:rPr>
        <w:t>VI. Изисквания по отношение на комуникацията:</w:t>
      </w:r>
    </w:p>
    <w:p w14:paraId="47F80228" w14:textId="427030EF" w:rsidR="00D6382A" w:rsidRPr="003C60F7" w:rsidRDefault="00D6382A" w:rsidP="007C743D">
      <w:pPr>
        <w:spacing w:before="120" w:after="120"/>
        <w:jc w:val="both"/>
      </w:pPr>
      <w:r w:rsidRPr="003C60F7">
        <w:t xml:space="preserve">Всички комуникации и кореспонденция, свързана с настоящия договор, между ВЪЗЛОЖИТЕЛЯ и ИЗПЪЛНИТЕЛЯ трябва да </w:t>
      </w:r>
      <w:r w:rsidR="009A71C2" w:rsidRPr="003C60F7">
        <w:t xml:space="preserve">бъде в писмена форма и да съдържа </w:t>
      </w:r>
      <w:r w:rsidRPr="003C60F7">
        <w:t>наименованието и номера на договора и се изпращат по пощата, чрез факс, електронна поща или по куриер. Кореспонденцията се изготвя на български език в два оригинала, един за ВЪЗЛОЖИТЕЛЯ и един за ИЗПЪЛНИТЕЛЯ, както следва:</w:t>
      </w:r>
    </w:p>
    <w:p w14:paraId="651212A5" w14:textId="01622B46" w:rsidR="00953DFB" w:rsidRPr="003C60F7" w:rsidRDefault="00953DFB" w:rsidP="007C743D">
      <w:pPr>
        <w:spacing w:before="120" w:after="120"/>
        <w:jc w:val="both"/>
      </w:pPr>
    </w:p>
    <w:p w14:paraId="2E22BC0D" w14:textId="77777777" w:rsidR="00953DFB" w:rsidRPr="003C60F7" w:rsidRDefault="00953DFB" w:rsidP="007C743D">
      <w:pPr>
        <w:spacing w:before="120" w:after="120"/>
        <w:jc w:val="both"/>
        <w:rPr>
          <w:b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89"/>
        <w:gridCol w:w="4890"/>
      </w:tblGrid>
      <w:tr w:rsidR="007C743D" w:rsidRPr="003C60F7" w14:paraId="7354B11B" w14:textId="77777777" w:rsidTr="00497DDC">
        <w:trPr>
          <w:jc w:val="center"/>
        </w:trPr>
        <w:tc>
          <w:tcPr>
            <w:tcW w:w="4889" w:type="dxa"/>
          </w:tcPr>
          <w:p w14:paraId="15D78B49" w14:textId="77777777" w:rsidR="007C743D" w:rsidRPr="003C60F7" w:rsidRDefault="007C743D" w:rsidP="00497DDC">
            <w:pPr>
              <w:spacing w:line="360" w:lineRule="auto"/>
            </w:pPr>
            <w:r w:rsidRPr="003C60F7">
              <w:t xml:space="preserve">За </w:t>
            </w:r>
            <w:r w:rsidRPr="003C60F7">
              <w:rPr>
                <w:b/>
                <w:caps/>
              </w:rPr>
              <w:t>Възложителя</w:t>
            </w:r>
            <w:r w:rsidRPr="003C60F7">
              <w:t>:</w:t>
            </w:r>
          </w:p>
        </w:tc>
        <w:tc>
          <w:tcPr>
            <w:tcW w:w="4890" w:type="dxa"/>
          </w:tcPr>
          <w:p w14:paraId="09072CF7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 xml:space="preserve">За </w:t>
            </w:r>
            <w:r w:rsidRPr="003C60F7">
              <w:rPr>
                <w:b/>
                <w:caps/>
              </w:rPr>
              <w:t>Изпълнителя</w:t>
            </w:r>
            <w:r w:rsidRPr="003C60F7">
              <w:t>:</w:t>
            </w:r>
          </w:p>
        </w:tc>
      </w:tr>
      <w:tr w:rsidR="007C743D" w:rsidRPr="003C60F7" w14:paraId="01280D15" w14:textId="77777777" w:rsidTr="00497DDC">
        <w:trPr>
          <w:jc w:val="center"/>
        </w:trPr>
        <w:tc>
          <w:tcPr>
            <w:tcW w:w="4889" w:type="dxa"/>
          </w:tcPr>
          <w:p w14:paraId="131B4D8D" w14:textId="77777777" w:rsidR="007C743D" w:rsidRPr="003C60F7" w:rsidRDefault="007C743D" w:rsidP="00497DDC">
            <w:pPr>
              <w:spacing w:line="360" w:lineRule="auto"/>
            </w:pPr>
            <w:r w:rsidRPr="003C60F7">
              <w:t>Адрес: ………………………………..</w:t>
            </w:r>
          </w:p>
          <w:p w14:paraId="197ACDB3" w14:textId="77777777" w:rsidR="007C743D" w:rsidRPr="003C60F7" w:rsidRDefault="007C743D" w:rsidP="00497DDC">
            <w:pPr>
              <w:spacing w:line="360" w:lineRule="auto"/>
            </w:pPr>
            <w:r w:rsidRPr="003C60F7">
              <w:t>Тел.: …………………...……………..</w:t>
            </w:r>
          </w:p>
          <w:p w14:paraId="17321DB4" w14:textId="77777777" w:rsidR="007C743D" w:rsidRPr="003C60F7" w:rsidRDefault="007C743D" w:rsidP="00497DDC">
            <w:pPr>
              <w:spacing w:line="360" w:lineRule="auto"/>
            </w:pPr>
            <w:r w:rsidRPr="003C60F7">
              <w:t>Ел. поща: ………….</w:t>
            </w:r>
            <w:hyperlink r:id="rId8" w:history="1">
              <w:r w:rsidRPr="003C60F7">
                <w:t>…………………</w:t>
              </w:r>
            </w:hyperlink>
            <w:r w:rsidRPr="003C60F7">
              <w:t> </w:t>
            </w:r>
          </w:p>
          <w:p w14:paraId="78AA356A" w14:textId="77777777" w:rsidR="007C743D" w:rsidRPr="003C60F7" w:rsidRDefault="007C743D" w:rsidP="00497DDC">
            <w:pPr>
              <w:spacing w:line="360" w:lineRule="auto"/>
            </w:pPr>
            <w:r w:rsidRPr="003C60F7">
              <w:t>Лице за контакт:</w:t>
            </w:r>
            <w:r w:rsidRPr="003C60F7">
              <w:rPr>
                <w:bCs/>
              </w:rPr>
              <w:t>……………………..</w:t>
            </w:r>
          </w:p>
          <w:p w14:paraId="34D01819" w14:textId="77777777" w:rsidR="007C743D" w:rsidRPr="003C60F7" w:rsidRDefault="007C743D" w:rsidP="00497DDC">
            <w:pPr>
              <w:spacing w:line="360" w:lineRule="auto"/>
            </w:pPr>
            <w:r w:rsidRPr="003C60F7">
              <w:t>Длъжност: ……………………………</w:t>
            </w:r>
          </w:p>
        </w:tc>
        <w:tc>
          <w:tcPr>
            <w:tcW w:w="4890" w:type="dxa"/>
          </w:tcPr>
          <w:p w14:paraId="2E3942D6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>Адрес: ...............................................</w:t>
            </w:r>
          </w:p>
          <w:p w14:paraId="65C5D7B8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>Тел.: ..................................................</w:t>
            </w:r>
          </w:p>
          <w:p w14:paraId="71F18EB9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>Ел. поща: ...........................................</w:t>
            </w:r>
          </w:p>
          <w:p w14:paraId="5AFD4A17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>Лице за контакт: ................................</w:t>
            </w:r>
          </w:p>
          <w:p w14:paraId="42102A00" w14:textId="77777777" w:rsidR="007C743D" w:rsidRPr="003C60F7" w:rsidRDefault="007C743D" w:rsidP="00497DDC">
            <w:pPr>
              <w:spacing w:line="360" w:lineRule="auto"/>
              <w:jc w:val="both"/>
            </w:pPr>
            <w:r w:rsidRPr="003C60F7">
              <w:t>Длъжност: ..........................................</w:t>
            </w:r>
          </w:p>
        </w:tc>
      </w:tr>
    </w:tbl>
    <w:p w14:paraId="735E1B6B" w14:textId="77777777" w:rsidR="006647E9" w:rsidRPr="003C60F7" w:rsidRDefault="006647E9" w:rsidP="00517346">
      <w:pPr>
        <w:spacing w:before="120" w:after="120"/>
        <w:jc w:val="both"/>
      </w:pPr>
    </w:p>
    <w:p w14:paraId="4A0EA830" w14:textId="036B9E67" w:rsidR="00C86925" w:rsidRPr="003C60F7" w:rsidRDefault="00162317" w:rsidP="00563136">
      <w:pPr>
        <w:spacing w:before="120" w:after="120"/>
        <w:ind w:firstLine="567"/>
        <w:jc w:val="both"/>
        <w:rPr>
          <w:color w:val="FF0000"/>
        </w:rPr>
      </w:pPr>
      <w:r w:rsidRPr="003C60F7">
        <w:rPr>
          <w:b/>
        </w:rPr>
        <w:t xml:space="preserve">VII. </w:t>
      </w:r>
      <w:r w:rsidR="00C86925" w:rsidRPr="003C60F7">
        <w:rPr>
          <w:b/>
        </w:rPr>
        <w:t>Срок за извършване на услугата</w:t>
      </w:r>
      <w:r w:rsidR="00B362E8" w:rsidRPr="003C60F7">
        <w:rPr>
          <w:b/>
        </w:rPr>
        <w:t>:</w:t>
      </w:r>
    </w:p>
    <w:p w14:paraId="397042A1" w14:textId="52D996A5" w:rsidR="00563136" w:rsidRPr="003C60F7" w:rsidRDefault="00705283" w:rsidP="00E66726">
      <w:pPr>
        <w:tabs>
          <w:tab w:val="left" w:pos="567"/>
        </w:tabs>
        <w:spacing w:before="120" w:after="120"/>
        <w:jc w:val="both"/>
      </w:pPr>
      <w:r w:rsidRPr="003C60F7">
        <w:tab/>
      </w:r>
      <w:r w:rsidR="009A71C2" w:rsidRPr="003C60F7">
        <w:t>ИЗПЪЛНИТЕЛЯТ стартира дейността по провеждане на обучението, като се съобрази със срока, посочен от ВЪЗЛОЖИТЕЛЯ в заявката, а за начало на обучението се приема започването на същинската дейност по провеждане на обучението.</w:t>
      </w:r>
    </w:p>
    <w:p w14:paraId="3548C5E7" w14:textId="77777777" w:rsidR="00953DFB" w:rsidRPr="003C60F7" w:rsidRDefault="00953DFB" w:rsidP="00953DFB">
      <w:pPr>
        <w:tabs>
          <w:tab w:val="left" w:pos="709"/>
        </w:tabs>
        <w:spacing w:before="120" w:after="120"/>
        <w:jc w:val="both"/>
      </w:pPr>
      <w:r w:rsidRPr="003C60F7">
        <w:tab/>
      </w:r>
    </w:p>
    <w:p w14:paraId="78E0C68B" w14:textId="43DD06BC" w:rsidR="00C86925" w:rsidRPr="003C60F7" w:rsidRDefault="00953DFB" w:rsidP="00953DFB">
      <w:pPr>
        <w:tabs>
          <w:tab w:val="left" w:pos="709"/>
        </w:tabs>
        <w:spacing w:before="120" w:after="120"/>
        <w:jc w:val="both"/>
        <w:rPr>
          <w:b/>
        </w:rPr>
      </w:pPr>
      <w:r w:rsidRPr="003C60F7">
        <w:tab/>
      </w:r>
      <w:r w:rsidR="00563136" w:rsidRPr="003C60F7">
        <w:rPr>
          <w:b/>
        </w:rPr>
        <w:t>VIII. Логистична организация:</w:t>
      </w:r>
    </w:p>
    <w:p w14:paraId="622DC013" w14:textId="17620766" w:rsidR="00C86925" w:rsidRPr="003C60F7" w:rsidRDefault="00C86925" w:rsidP="005259E1">
      <w:pPr>
        <w:tabs>
          <w:tab w:val="left" w:pos="630"/>
        </w:tabs>
        <w:spacing w:before="120" w:after="120"/>
        <w:jc w:val="both"/>
      </w:pPr>
      <w:r w:rsidRPr="003C60F7">
        <w:tab/>
      </w:r>
      <w:r w:rsidR="00705283" w:rsidRPr="003C60F7">
        <w:t xml:space="preserve">1. </w:t>
      </w:r>
      <w:r w:rsidR="008141DB" w:rsidRPr="003C60F7">
        <w:t>Л</w:t>
      </w:r>
      <w:r w:rsidRPr="003C60F7">
        <w:t>огистична</w:t>
      </w:r>
      <w:r w:rsidR="008141DB" w:rsidRPr="003C60F7">
        <w:t>та</w:t>
      </w:r>
      <w:r w:rsidRPr="003C60F7">
        <w:t xml:space="preserve"> организация, свързана с провеждане на обученията</w:t>
      </w:r>
      <w:r w:rsidR="008141DB" w:rsidRPr="003C60F7">
        <w:t>,</w:t>
      </w:r>
      <w:r w:rsidRPr="003C60F7">
        <w:t xml:space="preserve"> включва дейности по осиг</w:t>
      </w:r>
      <w:r w:rsidR="00657A78" w:rsidRPr="003C60F7">
        <w:t>уряване и настаняване в хотели</w:t>
      </w:r>
      <w:r w:rsidRPr="003C60F7">
        <w:t>*</w:t>
      </w:r>
      <w:r w:rsidRPr="003C60F7">
        <w:rPr>
          <w:rStyle w:val="FootnoteReference"/>
        </w:rPr>
        <w:footnoteReference w:id="1"/>
      </w:r>
      <w:r w:rsidR="008141DB" w:rsidRPr="003C60F7">
        <w:t>;</w:t>
      </w:r>
      <w:r w:rsidRPr="003C60F7">
        <w:t xml:space="preserve"> осигуряване на зали</w:t>
      </w:r>
      <w:r w:rsidR="008141DB" w:rsidRPr="003C60F7">
        <w:t>/помещения</w:t>
      </w:r>
      <w:r w:rsidRPr="003C60F7">
        <w:t xml:space="preserve"> с необходимото за пров</w:t>
      </w:r>
      <w:r w:rsidR="008141DB" w:rsidRPr="003C60F7">
        <w:t>еждане на обучението оборудване;</w:t>
      </w:r>
      <w:r w:rsidRPr="003C60F7">
        <w:t xml:space="preserve"> регистрация на участниците; осигуряване на кафе-паузи, закуска, обяд и вечеря на обучаемите; </w:t>
      </w:r>
      <w:r w:rsidR="00EF0807" w:rsidRPr="003C60F7">
        <w:t xml:space="preserve">осигуряване на организиран транспорт </w:t>
      </w:r>
      <w:r w:rsidR="008141DB" w:rsidRPr="003C60F7">
        <w:t>и/</w:t>
      </w:r>
      <w:r w:rsidR="00EF0807" w:rsidRPr="003C60F7">
        <w:t xml:space="preserve">или </w:t>
      </w:r>
      <w:r w:rsidRPr="003C60F7">
        <w:t>покриване на пътните разходи на участниците, които не са от населеното място, където се провежда обучението.</w:t>
      </w:r>
    </w:p>
    <w:p w14:paraId="102E833B" w14:textId="77777777" w:rsidR="007C5B5B" w:rsidRPr="003C60F7" w:rsidRDefault="007C5B5B" w:rsidP="005259E1">
      <w:pPr>
        <w:tabs>
          <w:tab w:val="left" w:pos="630"/>
        </w:tabs>
        <w:spacing w:before="120" w:after="120"/>
        <w:jc w:val="both"/>
      </w:pPr>
      <w:r w:rsidRPr="003C60F7">
        <w:lastRenderedPageBreak/>
        <w:tab/>
        <w:t>Необходимите логистични дейности, които следва да бъдат осигурени при провеждането на изнесени обучения са, както следва: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7C5B5B" w:rsidRPr="003C60F7" w14:paraId="40E8D5EC" w14:textId="77777777" w:rsidTr="00731E04">
        <w:tc>
          <w:tcPr>
            <w:tcW w:w="4671" w:type="dxa"/>
          </w:tcPr>
          <w:p w14:paraId="636D183E" w14:textId="77777777" w:rsidR="007C5B5B" w:rsidRPr="003C60F7" w:rsidRDefault="007C5B5B" w:rsidP="00731E04">
            <w:pPr>
              <w:spacing w:before="120" w:after="120"/>
              <w:jc w:val="both"/>
            </w:pPr>
            <w:r w:rsidRPr="003C60F7">
              <w:t>Място на провеждане</w:t>
            </w:r>
          </w:p>
        </w:tc>
        <w:tc>
          <w:tcPr>
            <w:tcW w:w="5218" w:type="dxa"/>
          </w:tcPr>
          <w:p w14:paraId="6B47E9FF" w14:textId="77777777" w:rsidR="00552EC1" w:rsidRPr="003C60F7" w:rsidRDefault="003D4E7F" w:rsidP="00731E04">
            <w:pPr>
              <w:spacing w:before="120" w:after="120"/>
              <w:jc w:val="both"/>
              <w:rPr>
                <w:color w:val="FF0000"/>
              </w:rPr>
            </w:pPr>
            <w:r w:rsidRPr="003C60F7">
              <w:rPr>
                <w:snapToGrid w:val="0"/>
              </w:rPr>
              <w:t>На територията на цялата страна</w:t>
            </w:r>
          </w:p>
        </w:tc>
      </w:tr>
      <w:tr w:rsidR="007C5B5B" w:rsidRPr="003C60F7" w14:paraId="4821BEC8" w14:textId="77777777" w:rsidTr="00731E04">
        <w:tc>
          <w:tcPr>
            <w:tcW w:w="4671" w:type="dxa"/>
          </w:tcPr>
          <w:p w14:paraId="3F6382FF" w14:textId="77777777" w:rsidR="007C5B5B" w:rsidRPr="003C60F7" w:rsidRDefault="007C5B5B" w:rsidP="00731E04">
            <w:pPr>
              <w:spacing w:before="120" w:after="120"/>
              <w:jc w:val="both"/>
            </w:pPr>
            <w:r w:rsidRPr="003C60F7">
              <w:t>Прогнозен брой участници</w:t>
            </w:r>
          </w:p>
        </w:tc>
        <w:tc>
          <w:tcPr>
            <w:tcW w:w="5218" w:type="dxa"/>
          </w:tcPr>
          <w:p w14:paraId="67A53651" w14:textId="77777777" w:rsidR="00552EC1" w:rsidRPr="003C60F7" w:rsidRDefault="002101CB" w:rsidP="00731E04">
            <w:pPr>
              <w:spacing w:before="120" w:after="120"/>
              <w:jc w:val="both"/>
              <w:rPr>
                <w:i/>
              </w:rPr>
            </w:pPr>
            <w:r w:rsidRPr="003C60F7">
              <w:t>В зависимост от подадените заявки за изпълнение на дейността в конкретния регион</w:t>
            </w:r>
          </w:p>
        </w:tc>
      </w:tr>
      <w:tr w:rsidR="007C5B5B" w:rsidRPr="003C60F7" w14:paraId="50AF2091" w14:textId="77777777" w:rsidTr="00731E04">
        <w:tc>
          <w:tcPr>
            <w:tcW w:w="4671" w:type="dxa"/>
          </w:tcPr>
          <w:p w14:paraId="51A0D413" w14:textId="7700C022" w:rsidR="002F4C49" w:rsidRPr="003C60F7" w:rsidRDefault="00672EBC" w:rsidP="005A7EAE">
            <w:pPr>
              <w:spacing w:before="120" w:after="120"/>
              <w:jc w:val="both"/>
            </w:pPr>
            <w:r w:rsidRPr="003C60F7">
              <w:t xml:space="preserve">При </w:t>
            </w:r>
            <w:r w:rsidR="005A7EAE" w:rsidRPr="003C60F7">
              <w:t xml:space="preserve">обучение с нощувки </w:t>
            </w:r>
          </w:p>
        </w:tc>
        <w:tc>
          <w:tcPr>
            <w:tcW w:w="5218" w:type="dxa"/>
          </w:tcPr>
          <w:p w14:paraId="21F4B971" w14:textId="77777777" w:rsidR="00191515" w:rsidRPr="003C60F7" w:rsidRDefault="00191515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В зависимост от продължителността на обучението, </w:t>
            </w:r>
            <w:r w:rsidRPr="003C60F7">
              <w:rPr>
                <w:bCs/>
                <w:u w:val="single"/>
              </w:rPr>
              <w:t>при наличие на нощувка</w:t>
            </w:r>
            <w:r w:rsidRPr="003C60F7">
              <w:rPr>
                <w:bCs/>
              </w:rPr>
              <w:t>:</w:t>
            </w:r>
          </w:p>
          <w:p w14:paraId="447AE40A" w14:textId="77777777" w:rsidR="00672EBC" w:rsidRPr="003C60F7" w:rsidRDefault="00191515" w:rsidP="00731E04">
            <w:pPr>
              <w:numPr>
                <w:ilvl w:val="0"/>
                <w:numId w:val="12"/>
              </w:numPr>
              <w:spacing w:before="120" w:after="120"/>
              <w:jc w:val="both"/>
            </w:pPr>
            <w:r w:rsidRPr="003C60F7">
              <w:rPr>
                <w:bCs/>
              </w:rPr>
              <w:t xml:space="preserve">съответния брой </w:t>
            </w:r>
            <w:r w:rsidR="00AA0979" w:rsidRPr="003C60F7">
              <w:rPr>
                <w:bCs/>
              </w:rPr>
              <w:t>обе</w:t>
            </w:r>
            <w:r w:rsidR="00672EBC" w:rsidRPr="003C60F7">
              <w:rPr>
                <w:bCs/>
              </w:rPr>
              <w:t>д</w:t>
            </w:r>
            <w:r w:rsidRPr="003C60F7">
              <w:rPr>
                <w:bCs/>
              </w:rPr>
              <w:t>и</w:t>
            </w:r>
            <w:r w:rsidR="002F4C49" w:rsidRPr="003C60F7">
              <w:rPr>
                <w:bCs/>
              </w:rPr>
              <w:t>;</w:t>
            </w:r>
            <w:r w:rsidR="00672EBC" w:rsidRPr="003C60F7">
              <w:rPr>
                <w:bCs/>
              </w:rPr>
              <w:t xml:space="preserve"> </w:t>
            </w:r>
          </w:p>
          <w:p w14:paraId="398B321E" w14:textId="77777777" w:rsidR="007C5B5B" w:rsidRPr="003C60F7" w:rsidRDefault="00191515" w:rsidP="00731E04">
            <w:pPr>
              <w:numPr>
                <w:ilvl w:val="0"/>
                <w:numId w:val="12"/>
              </w:numPr>
              <w:spacing w:before="120" w:after="120"/>
              <w:rPr>
                <w:bCs/>
              </w:rPr>
            </w:pPr>
            <w:r w:rsidRPr="003C60F7">
              <w:rPr>
                <w:bCs/>
              </w:rPr>
              <w:t xml:space="preserve">съответния брой </w:t>
            </w:r>
            <w:r w:rsidR="002F4C49" w:rsidRPr="003C60F7">
              <w:rPr>
                <w:bCs/>
              </w:rPr>
              <w:t>вечери;</w:t>
            </w:r>
          </w:p>
          <w:p w14:paraId="2C0E849D" w14:textId="77777777" w:rsidR="00672EBC" w:rsidRPr="003C60F7" w:rsidRDefault="00191515" w:rsidP="00731E04">
            <w:pPr>
              <w:numPr>
                <w:ilvl w:val="0"/>
                <w:numId w:val="12"/>
              </w:numPr>
              <w:adjustRightInd w:val="0"/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съответния брой </w:t>
            </w:r>
            <w:r w:rsidR="002F4C49" w:rsidRPr="003C60F7">
              <w:rPr>
                <w:bCs/>
              </w:rPr>
              <w:t>нощувки със закуски;</w:t>
            </w:r>
          </w:p>
          <w:p w14:paraId="44023B19" w14:textId="77777777" w:rsidR="003D19AA" w:rsidRPr="003C60F7" w:rsidRDefault="00191515" w:rsidP="00731E04">
            <w:pPr>
              <w:numPr>
                <w:ilvl w:val="0"/>
                <w:numId w:val="12"/>
              </w:numPr>
              <w:adjustRightInd w:val="0"/>
              <w:spacing w:before="120" w:after="120"/>
              <w:jc w:val="both"/>
              <w:rPr>
                <w:bCs/>
              </w:rPr>
            </w:pPr>
            <w:r w:rsidRPr="003C60F7">
              <w:t xml:space="preserve">съответния брой </w:t>
            </w:r>
            <w:r w:rsidR="00672EBC" w:rsidRPr="003C60F7">
              <w:t>кафе-паузи</w:t>
            </w:r>
            <w:r w:rsidR="00672EBC" w:rsidRPr="003C60F7">
              <w:rPr>
                <w:bCs/>
              </w:rPr>
              <w:t xml:space="preserve"> (</w:t>
            </w:r>
            <w:r w:rsidR="002F4C49" w:rsidRPr="003C60F7">
              <w:rPr>
                <w:bCs/>
              </w:rPr>
              <w:t>по програма</w:t>
            </w:r>
            <w:r w:rsidR="00672EBC" w:rsidRPr="003C60F7">
              <w:rPr>
                <w:bCs/>
              </w:rPr>
              <w:t>)</w:t>
            </w:r>
            <w:r w:rsidR="003D19AA" w:rsidRPr="003C60F7">
              <w:rPr>
                <w:bCs/>
              </w:rPr>
              <w:t xml:space="preserve">, в т.ч. </w:t>
            </w:r>
            <w:r w:rsidR="00672EBC" w:rsidRPr="003C60F7">
              <w:rPr>
                <w:bCs/>
              </w:rPr>
              <w:t>минерална вода, кафе, чай</w:t>
            </w:r>
            <w:r w:rsidR="003D19AA" w:rsidRPr="003C60F7">
              <w:rPr>
                <w:bCs/>
              </w:rPr>
              <w:t xml:space="preserve"> и дребни сладки;</w:t>
            </w:r>
            <w:r w:rsidR="00672EBC" w:rsidRPr="003C60F7">
              <w:rPr>
                <w:bCs/>
              </w:rPr>
              <w:t xml:space="preserve"> </w:t>
            </w:r>
          </w:p>
          <w:p w14:paraId="24A21389" w14:textId="77777777" w:rsidR="00B60A7B" w:rsidRPr="003C60F7" w:rsidRDefault="00B60A7B" w:rsidP="00731E04">
            <w:pPr>
              <w:numPr>
                <w:ilvl w:val="0"/>
                <w:numId w:val="12"/>
              </w:numPr>
              <w:adjustRightInd w:val="0"/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>транспорт</w:t>
            </w:r>
            <w:r w:rsidR="003D19AA" w:rsidRPr="003C60F7">
              <w:rPr>
                <w:bCs/>
              </w:rPr>
              <w:t>.</w:t>
            </w:r>
          </w:p>
          <w:p w14:paraId="78D4465C" w14:textId="77777777" w:rsidR="00552EC1" w:rsidRPr="003C60F7" w:rsidRDefault="003D19AA" w:rsidP="00731E04">
            <w:pPr>
              <w:spacing w:before="120" w:after="120"/>
              <w:rPr>
                <w:u w:val="single"/>
              </w:rPr>
            </w:pPr>
            <w:r w:rsidRPr="003C60F7">
              <w:rPr>
                <w:bCs/>
              </w:rPr>
              <w:t xml:space="preserve">В зависимост от продължителността на обучението, </w:t>
            </w:r>
            <w:r w:rsidRPr="003C60F7">
              <w:rPr>
                <w:bCs/>
                <w:u w:val="single"/>
              </w:rPr>
              <w:t>б</w:t>
            </w:r>
            <w:r w:rsidR="00F04799" w:rsidRPr="003C60F7">
              <w:rPr>
                <w:u w:val="single"/>
              </w:rPr>
              <w:t xml:space="preserve">ез </w:t>
            </w:r>
            <w:r w:rsidRPr="003C60F7">
              <w:rPr>
                <w:u w:val="single"/>
              </w:rPr>
              <w:t>предвидена нощувка:</w:t>
            </w:r>
          </w:p>
          <w:p w14:paraId="029C1E3A" w14:textId="77777777" w:rsidR="007274F6" w:rsidRPr="003C60F7" w:rsidRDefault="007274F6" w:rsidP="00731E04">
            <w:pPr>
              <w:numPr>
                <w:ilvl w:val="0"/>
                <w:numId w:val="12"/>
              </w:numPr>
              <w:adjustRightInd w:val="0"/>
              <w:spacing w:before="120" w:after="120"/>
              <w:jc w:val="both"/>
              <w:rPr>
                <w:bCs/>
              </w:rPr>
            </w:pPr>
            <w:r w:rsidRPr="003C60F7">
              <w:t>съответния брой кафе-паузи</w:t>
            </w:r>
            <w:r w:rsidRPr="003C60F7">
              <w:rPr>
                <w:bCs/>
              </w:rPr>
              <w:t xml:space="preserve"> (по програма), в т.ч. минерална вода, кафе, чай и дребни сладки; </w:t>
            </w:r>
          </w:p>
          <w:p w14:paraId="3A4052A4" w14:textId="77777777" w:rsidR="00B60A7B" w:rsidRPr="003C60F7" w:rsidRDefault="007274F6" w:rsidP="003765BA">
            <w:pPr>
              <w:numPr>
                <w:ilvl w:val="0"/>
                <w:numId w:val="12"/>
              </w:numPr>
              <w:adjustRightInd w:val="0"/>
              <w:spacing w:before="120" w:after="120"/>
              <w:jc w:val="both"/>
            </w:pPr>
            <w:r w:rsidRPr="003C60F7">
              <w:rPr>
                <w:bCs/>
              </w:rPr>
              <w:t xml:space="preserve">пътни </w:t>
            </w:r>
            <w:r w:rsidR="003765BA" w:rsidRPr="003C60F7">
              <w:rPr>
                <w:bCs/>
              </w:rPr>
              <w:t>разноски</w:t>
            </w:r>
            <w:r w:rsidRPr="003C60F7">
              <w:rPr>
                <w:bCs/>
              </w:rPr>
              <w:t>.</w:t>
            </w:r>
          </w:p>
        </w:tc>
      </w:tr>
      <w:tr w:rsidR="007C5B5B" w:rsidRPr="003C60F7" w14:paraId="006D7C9B" w14:textId="77777777" w:rsidTr="00731E04">
        <w:tc>
          <w:tcPr>
            <w:tcW w:w="4671" w:type="dxa"/>
          </w:tcPr>
          <w:p w14:paraId="698133FD" w14:textId="77777777" w:rsidR="007C5B5B" w:rsidRPr="003C60F7" w:rsidRDefault="007C5B5B" w:rsidP="00731E04">
            <w:pPr>
              <w:spacing w:before="120" w:after="120"/>
              <w:jc w:val="both"/>
            </w:pPr>
            <w:r w:rsidRPr="003C60F7">
              <w:t>Осигуряване на зала</w:t>
            </w:r>
            <w:r w:rsidR="002D2957" w:rsidRPr="003C60F7">
              <w:t>/помещение</w:t>
            </w:r>
            <w:r w:rsidRPr="003C60F7">
              <w:t xml:space="preserve"> и оборудване</w:t>
            </w:r>
          </w:p>
        </w:tc>
        <w:tc>
          <w:tcPr>
            <w:tcW w:w="5218" w:type="dxa"/>
          </w:tcPr>
          <w:p w14:paraId="1CB45E88" w14:textId="06D5A109" w:rsidR="007C5B5B" w:rsidRPr="003C60F7" w:rsidRDefault="008E4FEE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ИЗПЪЛНИТЕЛЯТ </w:t>
            </w:r>
            <w:r w:rsidR="002D2957" w:rsidRPr="003C60F7">
              <w:rPr>
                <w:bCs/>
              </w:rPr>
              <w:t>следва да осигури зала/помещение</w:t>
            </w:r>
            <w:r w:rsidR="007C5B5B" w:rsidRPr="003C60F7">
              <w:rPr>
                <w:bCs/>
              </w:rPr>
              <w:t xml:space="preserve"> със следните характеристики за нуждите на обучението: </w:t>
            </w:r>
          </w:p>
          <w:p w14:paraId="4E9B5747" w14:textId="77777777" w:rsidR="00672EBC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1. Капацитет: надхвърлящ с не по-малко от 10% </w:t>
            </w:r>
            <w:r w:rsidR="002D2957" w:rsidRPr="003C60F7">
              <w:rPr>
                <w:bCs/>
              </w:rPr>
              <w:t xml:space="preserve">върху </w:t>
            </w:r>
            <w:r w:rsidRPr="003C60F7">
              <w:rPr>
                <w:bCs/>
              </w:rPr>
              <w:t xml:space="preserve">прогнозния брой участници. </w:t>
            </w:r>
          </w:p>
          <w:p w14:paraId="387030C2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2. Разпределение: </w:t>
            </w:r>
            <w:r w:rsidR="002D2957" w:rsidRPr="003C60F7">
              <w:rPr>
                <w:bCs/>
              </w:rPr>
              <w:t xml:space="preserve">според спецификата на обучението (например: </w:t>
            </w:r>
            <w:r w:rsidRPr="003C60F7">
              <w:rPr>
                <w:bCs/>
              </w:rPr>
              <w:t>театрално или П-образно подреждане с президиум</w:t>
            </w:r>
            <w:r w:rsidR="002D2957" w:rsidRPr="003C60F7">
              <w:rPr>
                <w:bCs/>
              </w:rPr>
              <w:t>).</w:t>
            </w:r>
          </w:p>
          <w:p w14:paraId="430B66E1" w14:textId="77777777" w:rsidR="00672EBC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>3. Наличие на изправна климатична инсталация</w:t>
            </w:r>
            <w:r w:rsidR="002D2957" w:rsidRPr="003C60F7">
              <w:rPr>
                <w:bCs/>
              </w:rPr>
              <w:t xml:space="preserve"> или отопление.</w:t>
            </w:r>
          </w:p>
          <w:p w14:paraId="2776AEDD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>4. Оборудване</w:t>
            </w:r>
            <w:r w:rsidR="00693EFD" w:rsidRPr="003C60F7">
              <w:rPr>
                <w:bCs/>
              </w:rPr>
              <w:t xml:space="preserve"> (според спецификата на обучението)</w:t>
            </w:r>
            <w:r w:rsidR="00123D18" w:rsidRPr="003C60F7">
              <w:rPr>
                <w:bCs/>
              </w:rPr>
              <w:t>, в т.ч.:</w:t>
            </w:r>
            <w:r w:rsidRPr="003C60F7">
              <w:rPr>
                <w:bCs/>
              </w:rPr>
              <w:t xml:space="preserve"> </w:t>
            </w:r>
          </w:p>
          <w:p w14:paraId="0F1F280F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- 1 бр. екран; </w:t>
            </w:r>
          </w:p>
          <w:p w14:paraId="39507DC6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>- 1 бр. мултимедиен проектор;</w:t>
            </w:r>
          </w:p>
          <w:p w14:paraId="5FF5E2DA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>- 1 бр. лаптоп, свързан за работа с мултимедийния проектор;</w:t>
            </w:r>
          </w:p>
          <w:p w14:paraId="770CC1CC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lastRenderedPageBreak/>
              <w:t>- озвучителна система</w:t>
            </w:r>
            <w:r w:rsidR="00693EFD" w:rsidRPr="003C60F7">
              <w:rPr>
                <w:bCs/>
              </w:rPr>
              <w:t xml:space="preserve"> - микрофони</w:t>
            </w:r>
            <w:r w:rsidRPr="003C60F7">
              <w:rPr>
                <w:bCs/>
              </w:rPr>
              <w:t xml:space="preserve">; </w:t>
            </w:r>
          </w:p>
          <w:p w14:paraId="3F73B1EF" w14:textId="77777777" w:rsidR="007C5B5B" w:rsidRPr="003C60F7" w:rsidRDefault="007C5B5B" w:rsidP="00731E04">
            <w:pPr>
              <w:spacing w:before="120" w:after="120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</w:t>
            </w:r>
            <w:proofErr w:type="spellStart"/>
            <w:r w:rsidRPr="003C60F7">
              <w:rPr>
                <w:bCs/>
              </w:rPr>
              <w:t>флип</w:t>
            </w:r>
            <w:proofErr w:type="spellEnd"/>
            <w:r w:rsidRPr="003C60F7">
              <w:rPr>
                <w:bCs/>
              </w:rPr>
              <w:t xml:space="preserve"> чарт с маркери – 1 бр.</w:t>
            </w:r>
          </w:p>
          <w:p w14:paraId="547DFD5B" w14:textId="77777777" w:rsidR="00552EC1" w:rsidRPr="003C60F7" w:rsidRDefault="007C5B5B" w:rsidP="00731E04">
            <w:pPr>
              <w:adjustRightInd w:val="0"/>
              <w:spacing w:before="120" w:after="120"/>
              <w:jc w:val="both"/>
            </w:pPr>
            <w:r w:rsidRPr="003C60F7">
              <w:rPr>
                <w:bCs/>
              </w:rPr>
              <w:t>5. Осигурена техническа поддръжка на залата и оборудването.</w:t>
            </w:r>
            <w:r w:rsidRPr="003C60F7">
              <w:t xml:space="preserve"> </w:t>
            </w:r>
          </w:p>
        </w:tc>
      </w:tr>
      <w:tr w:rsidR="007C5B5B" w:rsidRPr="003C60F7" w14:paraId="177C1776" w14:textId="77777777" w:rsidTr="00731E04">
        <w:tc>
          <w:tcPr>
            <w:tcW w:w="4671" w:type="dxa"/>
          </w:tcPr>
          <w:p w14:paraId="0351F30B" w14:textId="60647CB7" w:rsidR="007C5B5B" w:rsidRPr="003C60F7" w:rsidRDefault="007C5B5B" w:rsidP="00731E04">
            <w:pPr>
              <w:spacing w:before="120" w:after="120"/>
              <w:jc w:val="both"/>
            </w:pPr>
            <w:r w:rsidRPr="003C60F7">
              <w:lastRenderedPageBreak/>
              <w:t xml:space="preserve">Осигуряване на </w:t>
            </w:r>
            <w:r w:rsidR="002562FB" w:rsidRPr="003C60F7">
              <w:t xml:space="preserve">обучителни </w:t>
            </w:r>
            <w:r w:rsidRPr="003C60F7">
              <w:t>материали</w:t>
            </w:r>
          </w:p>
        </w:tc>
        <w:tc>
          <w:tcPr>
            <w:tcW w:w="5218" w:type="dxa"/>
          </w:tcPr>
          <w:p w14:paraId="7BD0E207" w14:textId="0A1159AB" w:rsidR="00552EC1" w:rsidRPr="003C60F7" w:rsidRDefault="00731E04" w:rsidP="00731E04">
            <w:pPr>
              <w:adjustRightInd w:val="0"/>
              <w:spacing w:before="120" w:after="120"/>
              <w:jc w:val="both"/>
            </w:pPr>
            <w:r w:rsidRPr="003C60F7">
              <w:t>П</w:t>
            </w:r>
            <w:r w:rsidR="007C5B5B" w:rsidRPr="003C60F7">
              <w:t xml:space="preserve">апка с обучителни материали </w:t>
            </w:r>
          </w:p>
        </w:tc>
      </w:tr>
      <w:tr w:rsidR="007C5B5B" w:rsidRPr="003C60F7" w14:paraId="1AC77A90" w14:textId="77777777" w:rsidTr="00731E04">
        <w:tc>
          <w:tcPr>
            <w:tcW w:w="4671" w:type="dxa"/>
          </w:tcPr>
          <w:p w14:paraId="0E9CD985" w14:textId="77777777" w:rsidR="007C5B5B" w:rsidRPr="003C60F7" w:rsidRDefault="007C5B5B" w:rsidP="00731E04">
            <w:pPr>
              <w:spacing w:before="120" w:after="120"/>
              <w:jc w:val="both"/>
            </w:pPr>
            <w:r w:rsidRPr="003C60F7">
              <w:t>Осигуряване на снимков материал</w:t>
            </w:r>
          </w:p>
        </w:tc>
        <w:tc>
          <w:tcPr>
            <w:tcW w:w="5218" w:type="dxa"/>
          </w:tcPr>
          <w:p w14:paraId="7AC2B5DB" w14:textId="56A998C9" w:rsidR="00552EC1" w:rsidRPr="003C60F7" w:rsidRDefault="00731E04" w:rsidP="00731E04">
            <w:pPr>
              <w:spacing w:before="120" w:after="120"/>
              <w:jc w:val="both"/>
            </w:pPr>
            <w:r w:rsidRPr="003C60F7">
              <w:t>От</w:t>
            </w:r>
            <w:r w:rsidR="007C5B5B" w:rsidRPr="003C60F7">
              <w:t xml:space="preserve"> всяко </w:t>
            </w:r>
            <w:r w:rsidRPr="003C60F7">
              <w:t>проведено</w:t>
            </w:r>
            <w:r w:rsidR="007C5B5B" w:rsidRPr="003C60F7">
              <w:t xml:space="preserve"> </w:t>
            </w:r>
            <w:r w:rsidRPr="003C60F7">
              <w:t>обучение</w:t>
            </w:r>
          </w:p>
        </w:tc>
      </w:tr>
    </w:tbl>
    <w:p w14:paraId="71B59E48" w14:textId="54D2AE4F" w:rsidR="00C57A4B" w:rsidRPr="003C60F7" w:rsidRDefault="00575E33" w:rsidP="005259E1">
      <w:pPr>
        <w:spacing w:before="120" w:after="120"/>
        <w:ind w:firstLine="708"/>
        <w:jc w:val="both"/>
      </w:pPr>
      <w:r w:rsidRPr="003C60F7">
        <w:rPr>
          <w:b/>
          <w:i/>
        </w:rPr>
        <w:t>Забележка:</w:t>
      </w:r>
      <w:r w:rsidRPr="003C60F7">
        <w:rPr>
          <w:i/>
        </w:rPr>
        <w:t xml:space="preserve"> В случай че участникът предвижда провеждане на изнесено краткосрочно обучение,</w:t>
      </w:r>
      <w:r w:rsidR="005A7EAE" w:rsidRPr="003C60F7">
        <w:rPr>
          <w:i/>
        </w:rPr>
        <w:t xml:space="preserve"> с нощувки, </w:t>
      </w:r>
      <w:r w:rsidRPr="003C60F7">
        <w:rPr>
          <w:i/>
        </w:rPr>
        <w:t xml:space="preserve">той следва да осигури </w:t>
      </w:r>
      <w:r w:rsidR="006C62D0" w:rsidRPr="003C60F7">
        <w:rPr>
          <w:i/>
        </w:rPr>
        <w:t>н</w:t>
      </w:r>
      <w:r w:rsidRPr="003C60F7">
        <w:rPr>
          <w:i/>
        </w:rPr>
        <w:t xml:space="preserve">а обучаемите: </w:t>
      </w:r>
      <w:r w:rsidR="006C62D0" w:rsidRPr="003C60F7">
        <w:rPr>
          <w:i/>
        </w:rPr>
        <w:t xml:space="preserve">съответния брой </w:t>
      </w:r>
      <w:r w:rsidRPr="003C60F7">
        <w:rPr>
          <w:i/>
        </w:rPr>
        <w:t>нощувк</w:t>
      </w:r>
      <w:r w:rsidR="006C62D0" w:rsidRPr="003C60F7">
        <w:rPr>
          <w:i/>
        </w:rPr>
        <w:t>и</w:t>
      </w:r>
      <w:r w:rsidRPr="003C60F7">
        <w:rPr>
          <w:i/>
        </w:rPr>
        <w:t xml:space="preserve"> със закуск</w:t>
      </w:r>
      <w:r w:rsidR="006C62D0" w:rsidRPr="003C60F7">
        <w:rPr>
          <w:i/>
        </w:rPr>
        <w:t>и</w:t>
      </w:r>
      <w:r w:rsidRPr="003C60F7">
        <w:rPr>
          <w:i/>
        </w:rPr>
        <w:t xml:space="preserve"> на блок маса, обяд на блок маса </w:t>
      </w:r>
      <w:r w:rsidR="006C62D0" w:rsidRPr="003C60F7">
        <w:rPr>
          <w:i/>
        </w:rPr>
        <w:t>за всеки от дните</w:t>
      </w:r>
      <w:r w:rsidRPr="003C60F7">
        <w:rPr>
          <w:i/>
        </w:rPr>
        <w:t xml:space="preserve"> на</w:t>
      </w:r>
      <w:r w:rsidR="006C62D0" w:rsidRPr="003C60F7">
        <w:rPr>
          <w:i/>
        </w:rPr>
        <w:t xml:space="preserve"> обучението, с изключение на деня на отпътуването, вечери на блок маса в дните, за които е предвидена нощувка</w:t>
      </w:r>
      <w:r w:rsidRPr="003C60F7">
        <w:rPr>
          <w:i/>
        </w:rPr>
        <w:t>, поне една кафе-пауза във всеки от дните на обучението</w:t>
      </w:r>
      <w:r w:rsidRPr="003C60F7">
        <w:rPr>
          <w:bCs/>
          <w:i/>
        </w:rPr>
        <w:t xml:space="preserve"> (минерална вода, кафе, чай, безалкохолни напитки, дребни сладки и соленки), както и поне едно зареждане на залата с минерална вода.</w:t>
      </w:r>
      <w:r w:rsidR="006C62D0" w:rsidRPr="003C60F7">
        <w:rPr>
          <w:bCs/>
          <w:i/>
        </w:rPr>
        <w:t xml:space="preserve"> </w:t>
      </w:r>
    </w:p>
    <w:p w14:paraId="5F86244B" w14:textId="77777777" w:rsidR="00657A78" w:rsidRPr="003C60F7" w:rsidRDefault="00657A78" w:rsidP="005259E1">
      <w:pPr>
        <w:spacing w:before="120" w:after="120"/>
        <w:ind w:firstLine="708"/>
        <w:jc w:val="both"/>
      </w:pPr>
      <w:r w:rsidRPr="003C60F7">
        <w:t>2. Изисквания към осъществя</w:t>
      </w:r>
      <w:r w:rsidR="00731E04" w:rsidRPr="003C60F7">
        <w:t>ването на логистичните дейности:</w:t>
      </w:r>
    </w:p>
    <w:p w14:paraId="382B4011" w14:textId="41342627" w:rsidR="00657A78" w:rsidRPr="003C60F7" w:rsidRDefault="00657A78" w:rsidP="005259E1">
      <w:pPr>
        <w:spacing w:before="120" w:after="120"/>
        <w:ind w:firstLine="708"/>
        <w:jc w:val="both"/>
      </w:pPr>
      <w:r w:rsidRPr="003C60F7">
        <w:t xml:space="preserve">2.1. </w:t>
      </w:r>
      <w:r w:rsidR="008E4FEE" w:rsidRPr="003C60F7">
        <w:t>ИЗПЪЛНИТЕЛЯТ</w:t>
      </w:r>
      <w:r w:rsidR="008E4FEE" w:rsidRPr="003C60F7" w:rsidDel="008E4FEE">
        <w:t xml:space="preserve"> </w:t>
      </w:r>
      <w:r w:rsidRPr="003C60F7">
        <w:t xml:space="preserve">трябва да организира настаняването на обучаемите в туристически обекти по </w:t>
      </w:r>
      <w:r w:rsidR="006C62D0" w:rsidRPr="003C60F7">
        <w:t xml:space="preserve">чл. 123, ал. 2 и ал. 3, т. 1-7 </w:t>
      </w:r>
      <w:r w:rsidRPr="003C60F7">
        <w:t xml:space="preserve">от Закона за туризма, с категория поне 3 (три) звезди, разположени на комуникативно място в </w:t>
      </w:r>
      <w:r w:rsidR="00731E04" w:rsidRPr="003C60F7">
        <w:t>населеното място, където се провежда обучението</w:t>
      </w:r>
      <w:r w:rsidR="008B1305" w:rsidRPr="003C60F7">
        <w:rPr>
          <w:snapToGrid w:val="0"/>
        </w:rPr>
        <w:t xml:space="preserve"> или настаняване </w:t>
      </w:r>
      <w:r w:rsidR="006E33E1" w:rsidRPr="003C60F7">
        <w:rPr>
          <w:snapToGrid w:val="0"/>
        </w:rPr>
        <w:t>при</w:t>
      </w:r>
      <w:r w:rsidR="008B1305" w:rsidRPr="003C60F7">
        <w:rPr>
          <w:snapToGrid w:val="0"/>
        </w:rPr>
        <w:t xml:space="preserve"> сходни условия, в случай, че обучението е в собствена </w:t>
      </w:r>
      <w:r w:rsidR="006E33E1" w:rsidRPr="003C60F7">
        <w:rPr>
          <w:snapToGrid w:val="0"/>
        </w:rPr>
        <w:t xml:space="preserve">база </w:t>
      </w:r>
      <w:r w:rsidR="008B1305" w:rsidRPr="003C60F7">
        <w:rPr>
          <w:snapToGrid w:val="0"/>
        </w:rPr>
        <w:t>на</w:t>
      </w:r>
      <w:r w:rsidR="008E4FEE" w:rsidRPr="003C60F7">
        <w:rPr>
          <w:snapToGrid w:val="0"/>
        </w:rPr>
        <w:t xml:space="preserve"> ИЗПЪЛНИТЕЛЯ.</w:t>
      </w:r>
    </w:p>
    <w:p w14:paraId="6E459873" w14:textId="77777777" w:rsidR="00657A78" w:rsidRPr="003C60F7" w:rsidRDefault="00657A78" w:rsidP="005259E1">
      <w:pPr>
        <w:spacing w:before="120" w:after="120"/>
        <w:ind w:firstLine="708"/>
        <w:jc w:val="both"/>
      </w:pPr>
      <w:r w:rsidRPr="003C60F7">
        <w:t xml:space="preserve">2.2. </w:t>
      </w:r>
      <w:r w:rsidRPr="003C60F7">
        <w:rPr>
          <w:bCs/>
          <w:iCs/>
        </w:rPr>
        <w:t xml:space="preserve">В рамките на организацията на обученията се прави цялостно логистично и транспортно обслужване. </w:t>
      </w:r>
      <w:r w:rsidRPr="003C60F7">
        <w:t xml:space="preserve">Предложените хотели и зали следва да бъдат достъпни за хора с увреждания. </w:t>
      </w:r>
    </w:p>
    <w:p w14:paraId="7EF67088" w14:textId="77777777" w:rsidR="00657A78" w:rsidRPr="003C60F7" w:rsidRDefault="00657A78" w:rsidP="005259E1">
      <w:pPr>
        <w:pStyle w:val="Text2"/>
        <w:tabs>
          <w:tab w:val="clear" w:pos="2161"/>
          <w:tab w:val="left" w:pos="720"/>
        </w:tabs>
        <w:spacing w:before="120" w:after="120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</w:pPr>
      <w:r w:rsidRPr="003C60F7">
        <w:rPr>
          <w:rFonts w:ascii="Times New Roman" w:hAnsi="Times New Roman"/>
          <w:sz w:val="24"/>
          <w:szCs w:val="24"/>
          <w:lang w:val="bg-BG"/>
        </w:rPr>
        <w:t>2.</w:t>
      </w:r>
      <w:r w:rsidR="004E4C64" w:rsidRPr="003C60F7">
        <w:rPr>
          <w:rFonts w:ascii="Times New Roman" w:hAnsi="Times New Roman"/>
          <w:sz w:val="24"/>
          <w:szCs w:val="24"/>
          <w:lang w:val="bg-BG"/>
        </w:rPr>
        <w:t>3</w:t>
      </w:r>
      <w:r w:rsidRPr="003C60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>Настаняването на обучаемите в хотелите да бъде в двойни стаи.</w:t>
      </w:r>
    </w:p>
    <w:p w14:paraId="4F47FBE1" w14:textId="5DA70CDB" w:rsidR="00657A78" w:rsidRPr="003C60F7" w:rsidRDefault="00D216A2" w:rsidP="009B42C9">
      <w:pPr>
        <w:tabs>
          <w:tab w:val="left" w:pos="1080"/>
        </w:tabs>
        <w:spacing w:before="120" w:after="120"/>
        <w:ind w:firstLine="708"/>
        <w:jc w:val="both"/>
      </w:pPr>
      <w:r w:rsidRPr="003C60F7">
        <w:t>2</w:t>
      </w:r>
      <w:r w:rsidR="00657A78" w:rsidRPr="003C60F7">
        <w:t>.</w:t>
      </w:r>
      <w:r w:rsidR="004E4C64" w:rsidRPr="003C60F7">
        <w:t>4</w:t>
      </w:r>
      <w:r w:rsidR="009B42C9" w:rsidRPr="003C60F7">
        <w:t xml:space="preserve">. </w:t>
      </w:r>
      <w:r w:rsidR="00657A78" w:rsidRPr="003C60F7">
        <w:t xml:space="preserve">Пътните разноски и разходите за </w:t>
      </w:r>
      <w:r w:rsidR="00C803CF" w:rsidRPr="003C60F7">
        <w:t xml:space="preserve">изхранване </w:t>
      </w:r>
      <w:r w:rsidR="00657A78" w:rsidRPr="003C60F7">
        <w:t xml:space="preserve">и настаняване на </w:t>
      </w:r>
      <w:r w:rsidR="00B80F24" w:rsidRPr="003C60F7">
        <w:t>лекторите/</w:t>
      </w:r>
      <w:r w:rsidR="00C803CF" w:rsidRPr="003C60F7">
        <w:t>преподавателите</w:t>
      </w:r>
      <w:r w:rsidR="00657A78" w:rsidRPr="003C60F7">
        <w:t xml:space="preserve"> са за сметка на </w:t>
      </w:r>
      <w:r w:rsidR="009A71C2" w:rsidRPr="003C60F7">
        <w:t>ИЗПЪЛНИТЕЛЯ.</w:t>
      </w:r>
    </w:p>
    <w:p w14:paraId="1796C4ED" w14:textId="2E8C9089" w:rsidR="00657A78" w:rsidRPr="003C60F7" w:rsidRDefault="00D216A2" w:rsidP="005259E1">
      <w:pPr>
        <w:spacing w:before="120" w:after="120"/>
        <w:ind w:firstLine="708"/>
        <w:jc w:val="both"/>
      </w:pPr>
      <w:r w:rsidRPr="003C60F7">
        <w:t>2</w:t>
      </w:r>
      <w:r w:rsidR="00657A78" w:rsidRPr="003C60F7">
        <w:t>.</w:t>
      </w:r>
      <w:r w:rsidR="004E4C64" w:rsidRPr="003C60F7">
        <w:t>5</w:t>
      </w:r>
      <w:r w:rsidR="00657A78" w:rsidRPr="003C60F7">
        <w:t xml:space="preserve">. Възнагражденията на </w:t>
      </w:r>
      <w:r w:rsidR="00B80F24" w:rsidRPr="003C60F7">
        <w:t xml:space="preserve">лекторите/преподавателите </w:t>
      </w:r>
      <w:r w:rsidR="00657A78" w:rsidRPr="003C60F7">
        <w:t>са за сметка на</w:t>
      </w:r>
      <w:r w:rsidR="009A71C2" w:rsidRPr="003C60F7">
        <w:t xml:space="preserve"> ИЗПЪЛНИТЕЛЯ</w:t>
      </w:r>
      <w:r w:rsidR="00657A78" w:rsidRPr="003C60F7">
        <w:t>.</w:t>
      </w:r>
    </w:p>
    <w:p w14:paraId="0E0D77F1" w14:textId="1C1F4511" w:rsidR="00657A78" w:rsidRPr="003C60F7" w:rsidRDefault="00D216A2" w:rsidP="005259E1">
      <w:pPr>
        <w:spacing w:before="120" w:after="120"/>
        <w:ind w:firstLine="708"/>
        <w:jc w:val="both"/>
        <w:rPr>
          <w:bCs/>
        </w:rPr>
      </w:pPr>
      <w:r w:rsidRPr="003C60F7">
        <w:t>2</w:t>
      </w:r>
      <w:r w:rsidR="00657A78" w:rsidRPr="003C60F7">
        <w:t>.</w:t>
      </w:r>
      <w:r w:rsidR="004E4C64" w:rsidRPr="003C60F7">
        <w:t>6</w:t>
      </w:r>
      <w:r w:rsidR="00657A78" w:rsidRPr="003C60F7">
        <w:t xml:space="preserve">. </w:t>
      </w:r>
      <w:r w:rsidR="009A71C2" w:rsidRPr="003C60F7">
        <w:t xml:space="preserve">ИЗПЪЛНИТЕЛЯТ </w:t>
      </w:r>
      <w:r w:rsidR="00657A78" w:rsidRPr="003C60F7">
        <w:rPr>
          <w:bCs/>
        </w:rPr>
        <w:t xml:space="preserve">извършва регистрацията на участниците </w:t>
      </w:r>
      <w:r w:rsidR="00D60EF0" w:rsidRPr="003C60F7">
        <w:rPr>
          <w:bCs/>
        </w:rPr>
        <w:t>преди провеждане на обучението или в момента на настаняването им. П</w:t>
      </w:r>
      <w:r w:rsidR="00657A78" w:rsidRPr="003C60F7">
        <w:rPr>
          <w:bCs/>
        </w:rPr>
        <w:t>опълване</w:t>
      </w:r>
      <w:r w:rsidR="00D60EF0" w:rsidRPr="003C60F7">
        <w:rPr>
          <w:bCs/>
        </w:rPr>
        <w:t>то</w:t>
      </w:r>
      <w:r w:rsidR="00657A78" w:rsidRPr="003C60F7">
        <w:rPr>
          <w:bCs/>
        </w:rPr>
        <w:t xml:space="preserve"> на присъствени списъци </w:t>
      </w:r>
      <w:r w:rsidR="00D60EF0" w:rsidRPr="003C60F7">
        <w:rPr>
          <w:bCs/>
        </w:rPr>
        <w:t xml:space="preserve">се извършва </w:t>
      </w:r>
      <w:r w:rsidR="00657A78" w:rsidRPr="003C60F7">
        <w:rPr>
          <w:bCs/>
        </w:rPr>
        <w:t>през всеки от дните на провеждане на обучени</w:t>
      </w:r>
      <w:r w:rsidR="00D60EF0" w:rsidRPr="003C60F7">
        <w:rPr>
          <w:bCs/>
        </w:rPr>
        <w:t>ето</w:t>
      </w:r>
      <w:r w:rsidR="00657A78" w:rsidRPr="003C60F7">
        <w:rPr>
          <w:bCs/>
        </w:rPr>
        <w:t xml:space="preserve">. </w:t>
      </w:r>
    </w:p>
    <w:p w14:paraId="35BF02BD" w14:textId="2944BA6E" w:rsidR="004E4C64" w:rsidRPr="003C60F7" w:rsidRDefault="004E4C64" w:rsidP="004E4C64">
      <w:pPr>
        <w:spacing w:before="120" w:after="120"/>
        <w:ind w:firstLine="708"/>
        <w:jc w:val="both"/>
      </w:pPr>
      <w:r w:rsidRPr="003C60F7">
        <w:t xml:space="preserve">2.7. Обученията се организират с различна продължителност в два варианта: „изнесени“ и „на място“ в подходящи зали/помещения на </w:t>
      </w:r>
      <w:r w:rsidR="005D0273" w:rsidRPr="003C60F7">
        <w:t xml:space="preserve">ВЪЗЛОЖИТЕЛЯ </w:t>
      </w:r>
      <w:r w:rsidRPr="003C60F7">
        <w:t xml:space="preserve">(по възможност оборудвани с техника за видео-наблюдение) или в други помещения, определени от </w:t>
      </w:r>
      <w:r w:rsidR="009A71C2" w:rsidRPr="003C60F7">
        <w:t>ВЪЗЛОЖИТЕЛЯ.</w:t>
      </w:r>
    </w:p>
    <w:sectPr w:rsidR="004E4C64" w:rsidRPr="003C60F7" w:rsidSect="00703060">
      <w:headerReference w:type="default" r:id="rId9"/>
      <w:footerReference w:type="default" r:id="rId10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0B60" w14:textId="77777777" w:rsidR="00297A98" w:rsidRDefault="00297A98" w:rsidP="00C5450D">
      <w:r>
        <w:separator/>
      </w:r>
    </w:p>
  </w:endnote>
  <w:endnote w:type="continuationSeparator" w:id="0">
    <w:p w14:paraId="4DE57108" w14:textId="77777777" w:rsidR="00297A98" w:rsidRDefault="00297A9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EECC" w14:textId="77777777" w:rsidR="00497DDC" w:rsidRDefault="00497DDC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4D0BEBC3" w14:textId="77777777" w:rsidR="00497DDC" w:rsidRPr="004031DC" w:rsidRDefault="00497DDC" w:rsidP="00C5450D">
    <w:pPr>
      <w:pStyle w:val="Footer"/>
      <w:jc w:val="center"/>
      <w:rPr>
        <w:i/>
        <w:sz w:val="12"/>
        <w:szCs w:val="12"/>
        <w:lang w:val="en-US"/>
      </w:rPr>
    </w:pPr>
  </w:p>
  <w:p w14:paraId="5D608802" w14:textId="77777777" w:rsidR="00497DDC" w:rsidRPr="00B83454" w:rsidRDefault="00497DDC" w:rsidP="00C5450D">
    <w:pPr>
      <w:pStyle w:val="Footer"/>
      <w:jc w:val="center"/>
      <w:rPr>
        <w:i/>
        <w:sz w:val="20"/>
        <w:szCs w:val="22"/>
      </w:rPr>
    </w:pPr>
    <w:r w:rsidRPr="00B83454">
      <w:rPr>
        <w:i/>
        <w:sz w:val="20"/>
        <w:szCs w:val="22"/>
      </w:rPr>
      <w:t>Проект BG05M2OP001-2.010-0001 „Квалификация за професионално развитие на педагогическите специалисти“, финансиран от Оперативна програма „Наука и образование за интелигентен растеж“ 2014-2020, съфинансирана от Европейския съюз чрез Европейските структурни и инвестиционни фондове.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4044" w14:textId="77777777" w:rsidR="00297A98" w:rsidRDefault="00297A98" w:rsidP="00C5450D">
      <w:r>
        <w:separator/>
      </w:r>
    </w:p>
  </w:footnote>
  <w:footnote w:type="continuationSeparator" w:id="0">
    <w:p w14:paraId="0FB7DD3C" w14:textId="77777777" w:rsidR="00297A98" w:rsidRDefault="00297A98" w:rsidP="00C5450D">
      <w:r>
        <w:continuationSeparator/>
      </w:r>
    </w:p>
  </w:footnote>
  <w:footnote w:id="1">
    <w:p w14:paraId="61C61E2B" w14:textId="77777777" w:rsidR="00497DDC" w:rsidRPr="007D58BB" w:rsidRDefault="00497DDC" w:rsidP="00C86925">
      <w:pPr>
        <w:pStyle w:val="FootnoteText"/>
        <w:jc w:val="both"/>
        <w:rPr>
          <w:i/>
          <w:lang w:val="bg-BG"/>
        </w:rPr>
      </w:pPr>
      <w:r w:rsidRPr="007D58BB">
        <w:rPr>
          <w:rStyle w:val="FootnoteReference"/>
          <w:i/>
        </w:rPr>
        <w:footnoteRef/>
      </w:r>
      <w:r w:rsidRPr="007D58BB">
        <w:rPr>
          <w:i/>
        </w:rPr>
        <w:t xml:space="preserve"> </w:t>
      </w:r>
      <w:r w:rsidRPr="007D58BB">
        <w:rPr>
          <w:i/>
          <w:lang w:val="bg-BG"/>
        </w:rPr>
        <w:t>* В настоящата документация думата „хотели” се използва в придобилият гражданственост смисъл на събирателна дума за назоваване местата за нощувка</w:t>
      </w:r>
      <w:r w:rsidRPr="007D58BB">
        <w:rPr>
          <w:i/>
          <w:lang w:val="en-US"/>
        </w:rPr>
        <w:t xml:space="preserve">. </w:t>
      </w:r>
      <w:r w:rsidRPr="007D58BB">
        <w:rPr>
          <w:i/>
          <w:lang w:val="bg-BG"/>
        </w:rPr>
        <w:t>В тази група попадат както хотелите, така и останалите средства за подслон и места за настаняване по смисъла на Закона за туризма, в които участникът е предложил да бъдат наста</w:t>
      </w:r>
      <w:r>
        <w:rPr>
          <w:i/>
          <w:lang w:val="bg-BG"/>
        </w:rPr>
        <w:t xml:space="preserve">нявани участниците в обучението, както и собствените бази на изпълнителя, които могат да бъдат използвани за организиране на нощувките.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C128" w14:textId="77777777" w:rsidR="00497DDC" w:rsidRDefault="00497DDC" w:rsidP="00483CF6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rPr>
        <w:lang w:val="en-US"/>
      </w:rPr>
    </w:pPr>
    <w:r w:rsidRPr="00F352EE">
      <w:rPr>
        <w:noProof/>
        <w:lang w:val="en-GB" w:eastAsia="en-GB"/>
      </w:rPr>
      <w:drawing>
        <wp:inline distT="0" distB="0" distL="0" distR="0" wp14:anchorId="331EC06D" wp14:editId="3DC8D3DD">
          <wp:extent cx="2476500" cy="838200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ab/>
    </w:r>
    <w:r w:rsidRPr="00F352EE">
      <w:rPr>
        <w:noProof/>
        <w:lang w:val="en-GB" w:eastAsia="en-GB"/>
      </w:rPr>
      <w:drawing>
        <wp:inline distT="0" distB="0" distL="0" distR="0" wp14:anchorId="5C749CF3" wp14:editId="00B6040D">
          <wp:extent cx="2352675" cy="828675"/>
          <wp:effectExtent l="0" t="0" r="0" b="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DE2A4" w14:textId="77777777" w:rsidR="00497DDC" w:rsidRPr="00C5450D" w:rsidRDefault="00497DD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DBE"/>
    <w:multiLevelType w:val="hybridMultilevel"/>
    <w:tmpl w:val="8C22642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05C5F"/>
    <w:multiLevelType w:val="hybridMultilevel"/>
    <w:tmpl w:val="7EF648E0"/>
    <w:lvl w:ilvl="0" w:tplc="CBA4C7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6CB"/>
    <w:multiLevelType w:val="hybridMultilevel"/>
    <w:tmpl w:val="F02458B6"/>
    <w:lvl w:ilvl="0" w:tplc="A1605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74F9"/>
    <w:multiLevelType w:val="multilevel"/>
    <w:tmpl w:val="5002B57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" w15:restartNumberingAfterBreak="0">
    <w:nsid w:val="21493729"/>
    <w:multiLevelType w:val="hybridMultilevel"/>
    <w:tmpl w:val="A6E054E2"/>
    <w:lvl w:ilvl="0" w:tplc="D88E69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0A44DD"/>
    <w:multiLevelType w:val="hybridMultilevel"/>
    <w:tmpl w:val="7B1A38D4"/>
    <w:lvl w:ilvl="0" w:tplc="AF5846CC">
      <w:start w:val="9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02D8D"/>
    <w:multiLevelType w:val="hybridMultilevel"/>
    <w:tmpl w:val="D6ECD29C"/>
    <w:lvl w:ilvl="0" w:tplc="819A996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2A12F6C"/>
    <w:multiLevelType w:val="hybridMultilevel"/>
    <w:tmpl w:val="C2C238DC"/>
    <w:lvl w:ilvl="0" w:tplc="0BF874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C85906"/>
    <w:multiLevelType w:val="hybridMultilevel"/>
    <w:tmpl w:val="073E3CD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6E44F70"/>
    <w:multiLevelType w:val="hybridMultilevel"/>
    <w:tmpl w:val="BCAE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1823"/>
    <w:rsid w:val="000020C0"/>
    <w:rsid w:val="000071A9"/>
    <w:rsid w:val="00014033"/>
    <w:rsid w:val="00014267"/>
    <w:rsid w:val="000244D6"/>
    <w:rsid w:val="00037B19"/>
    <w:rsid w:val="000470DF"/>
    <w:rsid w:val="00047DDE"/>
    <w:rsid w:val="0007090C"/>
    <w:rsid w:val="000746F5"/>
    <w:rsid w:val="00075DE4"/>
    <w:rsid w:val="00080A61"/>
    <w:rsid w:val="000A31F3"/>
    <w:rsid w:val="000A32D8"/>
    <w:rsid w:val="000B2470"/>
    <w:rsid w:val="000B7E9B"/>
    <w:rsid w:val="000D0540"/>
    <w:rsid w:val="000E4B0B"/>
    <w:rsid w:val="000E761D"/>
    <w:rsid w:val="000F1A76"/>
    <w:rsid w:val="001067C8"/>
    <w:rsid w:val="001123C9"/>
    <w:rsid w:val="0011404C"/>
    <w:rsid w:val="00115126"/>
    <w:rsid w:val="0012205A"/>
    <w:rsid w:val="00123D18"/>
    <w:rsid w:val="00127AB7"/>
    <w:rsid w:val="00130313"/>
    <w:rsid w:val="001359E9"/>
    <w:rsid w:val="00141F33"/>
    <w:rsid w:val="00142E21"/>
    <w:rsid w:val="0014604E"/>
    <w:rsid w:val="00162317"/>
    <w:rsid w:val="0017281A"/>
    <w:rsid w:val="001728DB"/>
    <w:rsid w:val="00175B77"/>
    <w:rsid w:val="001875B7"/>
    <w:rsid w:val="00191515"/>
    <w:rsid w:val="00191B7B"/>
    <w:rsid w:val="00192CD8"/>
    <w:rsid w:val="00195672"/>
    <w:rsid w:val="00195B79"/>
    <w:rsid w:val="001A7438"/>
    <w:rsid w:val="001B50DA"/>
    <w:rsid w:val="001B5732"/>
    <w:rsid w:val="001B7799"/>
    <w:rsid w:val="001E02CE"/>
    <w:rsid w:val="001E3816"/>
    <w:rsid w:val="001E46F3"/>
    <w:rsid w:val="001F408A"/>
    <w:rsid w:val="00203A30"/>
    <w:rsid w:val="002101CB"/>
    <w:rsid w:val="00212801"/>
    <w:rsid w:val="0023000A"/>
    <w:rsid w:val="00234456"/>
    <w:rsid w:val="00240785"/>
    <w:rsid w:val="00252112"/>
    <w:rsid w:val="00255326"/>
    <w:rsid w:val="002562FB"/>
    <w:rsid w:val="00262E0B"/>
    <w:rsid w:val="00263259"/>
    <w:rsid w:val="00281C22"/>
    <w:rsid w:val="00282007"/>
    <w:rsid w:val="00285A16"/>
    <w:rsid w:val="00285DF0"/>
    <w:rsid w:val="00287F78"/>
    <w:rsid w:val="00297A98"/>
    <w:rsid w:val="00297BBA"/>
    <w:rsid w:val="002A1B9D"/>
    <w:rsid w:val="002A4C80"/>
    <w:rsid w:val="002B1BE2"/>
    <w:rsid w:val="002B7410"/>
    <w:rsid w:val="002C0C46"/>
    <w:rsid w:val="002C4D9A"/>
    <w:rsid w:val="002C5A74"/>
    <w:rsid w:val="002D2957"/>
    <w:rsid w:val="002F0389"/>
    <w:rsid w:val="002F4C49"/>
    <w:rsid w:val="00307CA6"/>
    <w:rsid w:val="003109F9"/>
    <w:rsid w:val="003140E7"/>
    <w:rsid w:val="003202FF"/>
    <w:rsid w:val="00324CA9"/>
    <w:rsid w:val="00326A30"/>
    <w:rsid w:val="00334C18"/>
    <w:rsid w:val="00350E15"/>
    <w:rsid w:val="003541B6"/>
    <w:rsid w:val="003617F3"/>
    <w:rsid w:val="003652E7"/>
    <w:rsid w:val="003660AA"/>
    <w:rsid w:val="00374706"/>
    <w:rsid w:val="0037583A"/>
    <w:rsid w:val="003765BA"/>
    <w:rsid w:val="00383C54"/>
    <w:rsid w:val="003864D5"/>
    <w:rsid w:val="00392E0B"/>
    <w:rsid w:val="00396631"/>
    <w:rsid w:val="003A64F1"/>
    <w:rsid w:val="003B1FFC"/>
    <w:rsid w:val="003B2126"/>
    <w:rsid w:val="003B7936"/>
    <w:rsid w:val="003C0DE0"/>
    <w:rsid w:val="003C4E72"/>
    <w:rsid w:val="003C60F7"/>
    <w:rsid w:val="003D08D4"/>
    <w:rsid w:val="003D19AA"/>
    <w:rsid w:val="003D3E76"/>
    <w:rsid w:val="003D4E7F"/>
    <w:rsid w:val="003D5425"/>
    <w:rsid w:val="004031DC"/>
    <w:rsid w:val="00420542"/>
    <w:rsid w:val="0042327E"/>
    <w:rsid w:val="0043628D"/>
    <w:rsid w:val="00437205"/>
    <w:rsid w:val="00453055"/>
    <w:rsid w:val="00453214"/>
    <w:rsid w:val="00481BB9"/>
    <w:rsid w:val="00483CF6"/>
    <w:rsid w:val="00487DEB"/>
    <w:rsid w:val="00497DDC"/>
    <w:rsid w:val="004A5300"/>
    <w:rsid w:val="004C5706"/>
    <w:rsid w:val="004C5842"/>
    <w:rsid w:val="004C797E"/>
    <w:rsid w:val="004C7BF5"/>
    <w:rsid w:val="004D21D9"/>
    <w:rsid w:val="004D597A"/>
    <w:rsid w:val="004E09B2"/>
    <w:rsid w:val="004E3681"/>
    <w:rsid w:val="004E4C64"/>
    <w:rsid w:val="004E6B47"/>
    <w:rsid w:val="004F4D1A"/>
    <w:rsid w:val="004F667F"/>
    <w:rsid w:val="00504904"/>
    <w:rsid w:val="0051261D"/>
    <w:rsid w:val="00514B23"/>
    <w:rsid w:val="005172A7"/>
    <w:rsid w:val="00517346"/>
    <w:rsid w:val="0051746B"/>
    <w:rsid w:val="005259E1"/>
    <w:rsid w:val="00552EC1"/>
    <w:rsid w:val="00553A9D"/>
    <w:rsid w:val="00554229"/>
    <w:rsid w:val="00557F6C"/>
    <w:rsid w:val="00563136"/>
    <w:rsid w:val="0056561A"/>
    <w:rsid w:val="00575E33"/>
    <w:rsid w:val="00592E2B"/>
    <w:rsid w:val="00593DA9"/>
    <w:rsid w:val="005A7EAE"/>
    <w:rsid w:val="005B18C1"/>
    <w:rsid w:val="005C31CC"/>
    <w:rsid w:val="005D0273"/>
    <w:rsid w:val="005D12A0"/>
    <w:rsid w:val="005E2AEA"/>
    <w:rsid w:val="005E37B0"/>
    <w:rsid w:val="005E74C3"/>
    <w:rsid w:val="00614613"/>
    <w:rsid w:val="0061504F"/>
    <w:rsid w:val="006157C1"/>
    <w:rsid w:val="006229E2"/>
    <w:rsid w:val="00625CAC"/>
    <w:rsid w:val="006273F0"/>
    <w:rsid w:val="0063654F"/>
    <w:rsid w:val="00637DC8"/>
    <w:rsid w:val="006427AB"/>
    <w:rsid w:val="00644EA2"/>
    <w:rsid w:val="0065193E"/>
    <w:rsid w:val="00654370"/>
    <w:rsid w:val="006569FA"/>
    <w:rsid w:val="00657A78"/>
    <w:rsid w:val="006647E9"/>
    <w:rsid w:val="00671544"/>
    <w:rsid w:val="00672EBC"/>
    <w:rsid w:val="00677149"/>
    <w:rsid w:val="00682544"/>
    <w:rsid w:val="00684BCD"/>
    <w:rsid w:val="00693EFD"/>
    <w:rsid w:val="006B7C00"/>
    <w:rsid w:val="006C2F55"/>
    <w:rsid w:val="006C62D0"/>
    <w:rsid w:val="006C7F63"/>
    <w:rsid w:val="006D79DD"/>
    <w:rsid w:val="006D7E49"/>
    <w:rsid w:val="006E31C0"/>
    <w:rsid w:val="006E33E1"/>
    <w:rsid w:val="006F12CA"/>
    <w:rsid w:val="00703060"/>
    <w:rsid w:val="00705283"/>
    <w:rsid w:val="00713782"/>
    <w:rsid w:val="0071721E"/>
    <w:rsid w:val="007204D0"/>
    <w:rsid w:val="00724675"/>
    <w:rsid w:val="007274F6"/>
    <w:rsid w:val="00731E04"/>
    <w:rsid w:val="00735507"/>
    <w:rsid w:val="007430A2"/>
    <w:rsid w:val="00743A0C"/>
    <w:rsid w:val="0074660F"/>
    <w:rsid w:val="00754563"/>
    <w:rsid w:val="00760ED5"/>
    <w:rsid w:val="00761121"/>
    <w:rsid w:val="00762073"/>
    <w:rsid w:val="00772E25"/>
    <w:rsid w:val="00791DAB"/>
    <w:rsid w:val="007A0418"/>
    <w:rsid w:val="007A61AD"/>
    <w:rsid w:val="007C4524"/>
    <w:rsid w:val="007C5B5B"/>
    <w:rsid w:val="007C743D"/>
    <w:rsid w:val="007D3C9F"/>
    <w:rsid w:val="007F5026"/>
    <w:rsid w:val="0080593E"/>
    <w:rsid w:val="008141DB"/>
    <w:rsid w:val="0081669E"/>
    <w:rsid w:val="00817B65"/>
    <w:rsid w:val="008223A8"/>
    <w:rsid w:val="008327BF"/>
    <w:rsid w:val="00843BB8"/>
    <w:rsid w:val="00854613"/>
    <w:rsid w:val="0085622E"/>
    <w:rsid w:val="00864CB6"/>
    <w:rsid w:val="008651F9"/>
    <w:rsid w:val="00880FDF"/>
    <w:rsid w:val="0088212B"/>
    <w:rsid w:val="0088378D"/>
    <w:rsid w:val="00893E5C"/>
    <w:rsid w:val="008A2944"/>
    <w:rsid w:val="008A4B44"/>
    <w:rsid w:val="008B1305"/>
    <w:rsid w:val="008C0A0D"/>
    <w:rsid w:val="008D3779"/>
    <w:rsid w:val="008E4FBC"/>
    <w:rsid w:val="008E4FEE"/>
    <w:rsid w:val="008E6F94"/>
    <w:rsid w:val="00902DB6"/>
    <w:rsid w:val="00905FDE"/>
    <w:rsid w:val="009179FE"/>
    <w:rsid w:val="0092107B"/>
    <w:rsid w:val="00922647"/>
    <w:rsid w:val="00923276"/>
    <w:rsid w:val="00924251"/>
    <w:rsid w:val="0092506C"/>
    <w:rsid w:val="0092644B"/>
    <w:rsid w:val="00936F25"/>
    <w:rsid w:val="00945ECF"/>
    <w:rsid w:val="0094615C"/>
    <w:rsid w:val="00946DDB"/>
    <w:rsid w:val="00953DFB"/>
    <w:rsid w:val="00954B1F"/>
    <w:rsid w:val="00957235"/>
    <w:rsid w:val="00957241"/>
    <w:rsid w:val="0096048C"/>
    <w:rsid w:val="009656D9"/>
    <w:rsid w:val="0097009C"/>
    <w:rsid w:val="009745A9"/>
    <w:rsid w:val="00980A1F"/>
    <w:rsid w:val="0099034D"/>
    <w:rsid w:val="00990C9F"/>
    <w:rsid w:val="00995DAF"/>
    <w:rsid w:val="00996928"/>
    <w:rsid w:val="009A54D0"/>
    <w:rsid w:val="009A71C2"/>
    <w:rsid w:val="009B42C9"/>
    <w:rsid w:val="009C1D21"/>
    <w:rsid w:val="009C4373"/>
    <w:rsid w:val="009D0EA4"/>
    <w:rsid w:val="009D3F7A"/>
    <w:rsid w:val="009E3BC5"/>
    <w:rsid w:val="009E7F03"/>
    <w:rsid w:val="009F0CB4"/>
    <w:rsid w:val="009F73E7"/>
    <w:rsid w:val="00A20E3F"/>
    <w:rsid w:val="00A21A8F"/>
    <w:rsid w:val="00A22D87"/>
    <w:rsid w:val="00A255FA"/>
    <w:rsid w:val="00A341A4"/>
    <w:rsid w:val="00A401CE"/>
    <w:rsid w:val="00A46BEF"/>
    <w:rsid w:val="00A5070A"/>
    <w:rsid w:val="00A5094F"/>
    <w:rsid w:val="00A52B60"/>
    <w:rsid w:val="00A53AF2"/>
    <w:rsid w:val="00A73E29"/>
    <w:rsid w:val="00A93835"/>
    <w:rsid w:val="00AA0979"/>
    <w:rsid w:val="00AA18D9"/>
    <w:rsid w:val="00AA38B5"/>
    <w:rsid w:val="00AB467B"/>
    <w:rsid w:val="00AB633E"/>
    <w:rsid w:val="00AC02B0"/>
    <w:rsid w:val="00AC154D"/>
    <w:rsid w:val="00AC22D1"/>
    <w:rsid w:val="00AD7605"/>
    <w:rsid w:val="00AF2E6A"/>
    <w:rsid w:val="00B05482"/>
    <w:rsid w:val="00B21105"/>
    <w:rsid w:val="00B30174"/>
    <w:rsid w:val="00B336D5"/>
    <w:rsid w:val="00B362E8"/>
    <w:rsid w:val="00B44CD3"/>
    <w:rsid w:val="00B60A7B"/>
    <w:rsid w:val="00B60C6D"/>
    <w:rsid w:val="00B737B8"/>
    <w:rsid w:val="00B804AE"/>
    <w:rsid w:val="00B80F24"/>
    <w:rsid w:val="00B83122"/>
    <w:rsid w:val="00B83454"/>
    <w:rsid w:val="00B859C9"/>
    <w:rsid w:val="00B865E7"/>
    <w:rsid w:val="00B93CF1"/>
    <w:rsid w:val="00BA2898"/>
    <w:rsid w:val="00BA2D24"/>
    <w:rsid w:val="00BA444A"/>
    <w:rsid w:val="00BB0AC8"/>
    <w:rsid w:val="00BB0DA2"/>
    <w:rsid w:val="00BC4F20"/>
    <w:rsid w:val="00BC5C2F"/>
    <w:rsid w:val="00BC6C41"/>
    <w:rsid w:val="00BF3464"/>
    <w:rsid w:val="00BF70DF"/>
    <w:rsid w:val="00C01C2F"/>
    <w:rsid w:val="00C076E3"/>
    <w:rsid w:val="00C12ECE"/>
    <w:rsid w:val="00C137A9"/>
    <w:rsid w:val="00C1673C"/>
    <w:rsid w:val="00C27DC3"/>
    <w:rsid w:val="00C30F3A"/>
    <w:rsid w:val="00C46570"/>
    <w:rsid w:val="00C46D65"/>
    <w:rsid w:val="00C5450D"/>
    <w:rsid w:val="00C57A4B"/>
    <w:rsid w:val="00C62B1A"/>
    <w:rsid w:val="00C654D0"/>
    <w:rsid w:val="00C65A7A"/>
    <w:rsid w:val="00C803CF"/>
    <w:rsid w:val="00C86925"/>
    <w:rsid w:val="00C910FB"/>
    <w:rsid w:val="00C91B94"/>
    <w:rsid w:val="00C928BA"/>
    <w:rsid w:val="00C94324"/>
    <w:rsid w:val="00CA3774"/>
    <w:rsid w:val="00CC1362"/>
    <w:rsid w:val="00CC1EA1"/>
    <w:rsid w:val="00CC2E7E"/>
    <w:rsid w:val="00CC4031"/>
    <w:rsid w:val="00CC5260"/>
    <w:rsid w:val="00CD2B0A"/>
    <w:rsid w:val="00CE7F3F"/>
    <w:rsid w:val="00CF3AA2"/>
    <w:rsid w:val="00CF4AF7"/>
    <w:rsid w:val="00D05486"/>
    <w:rsid w:val="00D20451"/>
    <w:rsid w:val="00D216A2"/>
    <w:rsid w:val="00D23850"/>
    <w:rsid w:val="00D3362F"/>
    <w:rsid w:val="00D35413"/>
    <w:rsid w:val="00D3671F"/>
    <w:rsid w:val="00D37D09"/>
    <w:rsid w:val="00D44CFD"/>
    <w:rsid w:val="00D476D8"/>
    <w:rsid w:val="00D573C7"/>
    <w:rsid w:val="00D600EA"/>
    <w:rsid w:val="00D60EF0"/>
    <w:rsid w:val="00D611F4"/>
    <w:rsid w:val="00D6382A"/>
    <w:rsid w:val="00D64192"/>
    <w:rsid w:val="00D64B39"/>
    <w:rsid w:val="00D67755"/>
    <w:rsid w:val="00D70D44"/>
    <w:rsid w:val="00D7417B"/>
    <w:rsid w:val="00D77B0D"/>
    <w:rsid w:val="00D844FE"/>
    <w:rsid w:val="00D906EC"/>
    <w:rsid w:val="00DA1C3A"/>
    <w:rsid w:val="00DA7C35"/>
    <w:rsid w:val="00DA7EC9"/>
    <w:rsid w:val="00DB1B36"/>
    <w:rsid w:val="00DB3FB4"/>
    <w:rsid w:val="00DC55A4"/>
    <w:rsid w:val="00DD5688"/>
    <w:rsid w:val="00DD7DB4"/>
    <w:rsid w:val="00DE29C6"/>
    <w:rsid w:val="00DE614C"/>
    <w:rsid w:val="00DE6CBF"/>
    <w:rsid w:val="00E10ECD"/>
    <w:rsid w:val="00E2619F"/>
    <w:rsid w:val="00E27A44"/>
    <w:rsid w:val="00E52644"/>
    <w:rsid w:val="00E551E5"/>
    <w:rsid w:val="00E57642"/>
    <w:rsid w:val="00E66726"/>
    <w:rsid w:val="00E67921"/>
    <w:rsid w:val="00E70057"/>
    <w:rsid w:val="00E729C3"/>
    <w:rsid w:val="00E73418"/>
    <w:rsid w:val="00E74D76"/>
    <w:rsid w:val="00E7732D"/>
    <w:rsid w:val="00E81232"/>
    <w:rsid w:val="00E85587"/>
    <w:rsid w:val="00E95C2D"/>
    <w:rsid w:val="00E96281"/>
    <w:rsid w:val="00EB0CAC"/>
    <w:rsid w:val="00EB0E16"/>
    <w:rsid w:val="00EB52CA"/>
    <w:rsid w:val="00EB7133"/>
    <w:rsid w:val="00EC0D52"/>
    <w:rsid w:val="00EC0F8B"/>
    <w:rsid w:val="00ED03E6"/>
    <w:rsid w:val="00ED1BA0"/>
    <w:rsid w:val="00ED3605"/>
    <w:rsid w:val="00EF0807"/>
    <w:rsid w:val="00F04799"/>
    <w:rsid w:val="00F12FC8"/>
    <w:rsid w:val="00F23A1A"/>
    <w:rsid w:val="00F37776"/>
    <w:rsid w:val="00F41CD1"/>
    <w:rsid w:val="00F43756"/>
    <w:rsid w:val="00F6293B"/>
    <w:rsid w:val="00F62DE3"/>
    <w:rsid w:val="00F71229"/>
    <w:rsid w:val="00F84F4C"/>
    <w:rsid w:val="00F9656D"/>
    <w:rsid w:val="00FA689E"/>
    <w:rsid w:val="00FA72B0"/>
    <w:rsid w:val="00FB02D9"/>
    <w:rsid w:val="00FB0F3A"/>
    <w:rsid w:val="00FF119E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0FD8F"/>
  <w15:chartTrackingRefBased/>
  <w15:docId w15:val="{59B13AEE-0D2B-4032-8A6C-1AF10CCE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35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5450D"/>
    <w:rPr>
      <w:sz w:val="24"/>
      <w:szCs w:val="24"/>
    </w:rPr>
  </w:style>
  <w:style w:type="character" w:styleId="Hyperlink">
    <w:name w:val="Hyperlink"/>
    <w:rsid w:val="004E09B2"/>
    <w:rPr>
      <w:color w:val="0000FF"/>
      <w:u w:val="single"/>
    </w:rPr>
  </w:style>
  <w:style w:type="paragraph" w:styleId="ListParagraph">
    <w:name w:val="List Paragraph"/>
    <w:aliases w:val="List Paragraph1,List1,Colorful List - Accent 11,List Paragraph11,List Paragraph111,List Paragraph1111"/>
    <w:basedOn w:val="Normal"/>
    <w:link w:val="ListParagraphChar"/>
    <w:qFormat/>
    <w:rsid w:val="006E3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List Paragraph1 Char,List1 Char,Colorful List - Accent 11 Char,List Paragraph11 Char,List Paragraph111 Char,List Paragraph1111 Char"/>
    <w:link w:val="ListParagraph"/>
    <w:rsid w:val="006E31C0"/>
    <w:rPr>
      <w:rFonts w:ascii="Calibri" w:eastAsia="Calibri" w:hAnsi="Calibri"/>
      <w:sz w:val="22"/>
      <w:szCs w:val="22"/>
      <w:lang w:val="x-none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semiHidden/>
    <w:rsid w:val="00C86925"/>
    <w:rPr>
      <w:sz w:val="20"/>
      <w:szCs w:val="20"/>
      <w:lang w:val="en-GB" w:eastAsia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semiHidden/>
    <w:rsid w:val="00C86925"/>
    <w:rPr>
      <w:lang w:val="en-GB" w:eastAsia="en-US"/>
    </w:rPr>
  </w:style>
  <w:style w:type="character" w:styleId="FootnoteReference">
    <w:name w:val="footnote reference"/>
    <w:semiHidden/>
    <w:rsid w:val="00C86925"/>
    <w:rPr>
      <w:vertAlign w:val="superscript"/>
    </w:rPr>
  </w:style>
  <w:style w:type="paragraph" w:customStyle="1" w:styleId="Text1">
    <w:name w:val="Text 1"/>
    <w:basedOn w:val="Normal"/>
    <w:rsid w:val="007C5B5B"/>
    <w:pPr>
      <w:spacing w:after="240"/>
      <w:ind w:left="482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Text2">
    <w:name w:val="Text 2"/>
    <w:basedOn w:val="Normal"/>
    <w:rsid w:val="00657A78"/>
    <w:pPr>
      <w:tabs>
        <w:tab w:val="left" w:pos="2161"/>
      </w:tabs>
      <w:spacing w:after="240"/>
      <w:ind w:left="1202"/>
      <w:jc w:val="both"/>
    </w:pPr>
    <w:rPr>
      <w:rFonts w:ascii="Arial" w:eastAsia="MS Mincho" w:hAnsi="Arial"/>
      <w:sz w:val="20"/>
      <w:szCs w:val="20"/>
      <w:lang w:val="en-GB"/>
    </w:rPr>
  </w:style>
  <w:style w:type="character" w:styleId="CommentReference">
    <w:name w:val="annotation reference"/>
    <w:semiHidden/>
    <w:unhideWhenUsed/>
    <w:rsid w:val="00141F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F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F33"/>
    <w:rPr>
      <w:b/>
      <w:bCs/>
    </w:rPr>
  </w:style>
  <w:style w:type="character" w:customStyle="1" w:styleId="CommentSubjectChar">
    <w:name w:val="Comment Subject Char"/>
    <w:link w:val="CommentSubject"/>
    <w:semiHidden/>
    <w:rsid w:val="00141F33"/>
    <w:rPr>
      <w:b/>
      <w:bCs/>
    </w:rPr>
  </w:style>
  <w:style w:type="paragraph" w:customStyle="1" w:styleId="Default">
    <w:name w:val="Default"/>
    <w:uiPriority w:val="99"/>
    <w:rsid w:val="009F0CB4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table" w:styleId="TableGrid">
    <w:name w:val="Table Grid"/>
    <w:basedOn w:val="TableNormal"/>
    <w:rsid w:val="009F0CB4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urope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C64D-B839-473A-9C68-60C0173F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2297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15360</CharactersWithSpaces>
  <SharedDoc>false</SharedDoc>
  <HLinks>
    <vt:vector size="12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http://sf.mon.bg/?go=pageamp;pageId=67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Vanya Karabasheva</cp:lastModifiedBy>
  <cp:revision>3</cp:revision>
  <cp:lastPrinted>2019-03-19T13:44:00Z</cp:lastPrinted>
  <dcterms:created xsi:type="dcterms:W3CDTF">2021-01-19T14:01:00Z</dcterms:created>
  <dcterms:modified xsi:type="dcterms:W3CDTF">2021-01-20T07:55:00Z</dcterms:modified>
</cp:coreProperties>
</file>